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9683B" w14:textId="77777777" w:rsidR="00CB043D" w:rsidRPr="00740B4F" w:rsidRDefault="00CB043D">
      <w:pPr>
        <w:spacing w:after="0" w:line="240" w:lineRule="auto"/>
        <w:jc w:val="left"/>
        <w:rPr>
          <w:rFonts w:ascii="Arial" w:hAnsi="Arial"/>
          <w:lang w:val="es-ES_tradnl"/>
        </w:rPr>
      </w:pPr>
    </w:p>
    <w:p w14:paraId="278E43CB" w14:textId="52C8B7F4" w:rsidR="00CB043D" w:rsidRPr="00840D43" w:rsidRDefault="00840D43" w:rsidP="006127B4">
      <w:pPr>
        <w:pStyle w:val="Ttulo"/>
        <w:rPr>
          <w:rFonts w:ascii="Arial" w:hAnsi="Arial"/>
          <w:lang w:val="es-ES"/>
        </w:rPr>
      </w:pPr>
      <w:r w:rsidRPr="00840D43">
        <w:rPr>
          <w:rFonts w:ascii="Arial" w:hAnsi="Arial"/>
        </w:rPr>
        <w:t>JURISPRUDENCIA AMBIENTAL EN ANDALUCÍA</w:t>
      </w:r>
    </w:p>
    <w:p w14:paraId="0405F4EA" w14:textId="77777777" w:rsidR="00CB043D" w:rsidRPr="00740B4F" w:rsidRDefault="00CB043D" w:rsidP="00CB043D">
      <w:pPr>
        <w:spacing w:after="0"/>
        <w:jc w:val="center"/>
        <w:rPr>
          <w:rFonts w:ascii="Arial" w:hAnsi="Arial"/>
          <w:i/>
          <w:lang w:val="es-ES_tradnl"/>
        </w:rPr>
      </w:pPr>
    </w:p>
    <w:p w14:paraId="35B809D7" w14:textId="0A53BBEE" w:rsidR="00CB043D" w:rsidRPr="00A8563E" w:rsidRDefault="009D4E35" w:rsidP="000128E0">
      <w:pPr>
        <w:pStyle w:val="Subttulo"/>
        <w:rPr>
          <w:rFonts w:ascii="Arial" w:hAnsi="Arial"/>
          <w:smallCaps/>
          <w:lang w:val="pt-PT"/>
        </w:rPr>
      </w:pPr>
      <w:r w:rsidRPr="00A8563E">
        <w:rPr>
          <w:rFonts w:ascii="Arial" w:hAnsi="Arial"/>
          <w:smallCaps/>
          <w:lang w:val="pt-PT"/>
        </w:rPr>
        <w:t>LORENZO MELLADO RUIZ</w:t>
      </w:r>
    </w:p>
    <w:p w14:paraId="46C4A47C" w14:textId="37B1A3CC" w:rsidR="00A8563E" w:rsidRPr="00A8563E" w:rsidRDefault="006127B4" w:rsidP="00A8563E">
      <w:pPr>
        <w:jc w:val="center"/>
        <w:rPr>
          <w:rFonts w:ascii="Arial" w:hAnsi="Arial"/>
          <w:i/>
          <w:lang w:val="pt-PT"/>
        </w:rPr>
      </w:pPr>
      <w:r w:rsidRPr="00840D43">
        <w:rPr>
          <w:rFonts w:ascii="Arial" w:hAnsi="Arial"/>
          <w:i/>
          <w:lang w:val="pt-PT"/>
        </w:rPr>
        <w:t>R</w:t>
      </w:r>
      <w:r w:rsidR="00A8563E" w:rsidRPr="00A8563E">
        <w:t xml:space="preserve"> </w:t>
      </w:r>
      <w:r w:rsidR="00A8563E" w:rsidRPr="00A8563E">
        <w:rPr>
          <w:rFonts w:ascii="Arial" w:hAnsi="Arial"/>
          <w:i/>
          <w:lang w:val="pt-PT"/>
        </w:rPr>
        <w:t>Catedrático de Derecho Administrativo</w:t>
      </w:r>
    </w:p>
    <w:p w14:paraId="7EEFDC53" w14:textId="34E588BA" w:rsidR="00BF31E0" w:rsidRDefault="00A8563E" w:rsidP="00A8563E">
      <w:pPr>
        <w:jc w:val="center"/>
        <w:rPr>
          <w:rFonts w:ascii="Arial" w:hAnsi="Arial"/>
          <w:i/>
          <w:lang w:val="pt-PT"/>
        </w:rPr>
      </w:pPr>
      <w:r w:rsidRPr="00A8563E">
        <w:rPr>
          <w:rFonts w:ascii="Arial" w:hAnsi="Arial"/>
          <w:i/>
          <w:lang w:val="pt-PT"/>
        </w:rPr>
        <w:t xml:space="preserve"> Universidad de Almería</w:t>
      </w:r>
    </w:p>
    <w:p w14:paraId="64BB0EAD" w14:textId="77777777" w:rsidR="00A8563E" w:rsidRPr="00840D43" w:rsidRDefault="00A8563E" w:rsidP="00A8563E">
      <w:pPr>
        <w:jc w:val="center"/>
        <w:rPr>
          <w:rFonts w:ascii="Arial" w:hAnsi="Arial"/>
          <w:lang w:val="pt-PT" w:eastAsia="es-ES"/>
        </w:rPr>
      </w:pPr>
    </w:p>
    <w:p w14:paraId="7B99F8B1" w14:textId="7F28157B" w:rsidR="00F342E5" w:rsidRPr="00740B4F" w:rsidRDefault="00F342E5" w:rsidP="006127B4">
      <w:pPr>
        <w:pStyle w:val="Sumario"/>
        <w:rPr>
          <w:rFonts w:ascii="Arial" w:hAnsi="Arial"/>
          <w:lang w:val="pt-BR"/>
        </w:rPr>
      </w:pPr>
      <w:r w:rsidRPr="00840D43">
        <w:rPr>
          <w:rFonts w:ascii="Arial" w:hAnsi="Arial"/>
          <w:b/>
          <w:lang w:val="pt-PT"/>
        </w:rPr>
        <w:t xml:space="preserve">Sumario: </w:t>
      </w:r>
      <w:r w:rsidRPr="00840D43">
        <w:rPr>
          <w:rFonts w:ascii="Arial" w:hAnsi="Arial"/>
          <w:lang w:val="pt-PT"/>
        </w:rPr>
        <w:t xml:space="preserve">1. </w:t>
      </w:r>
      <w:r w:rsidR="00BC1FD4" w:rsidRPr="00BC1FD4">
        <w:rPr>
          <w:rFonts w:ascii="Arial" w:hAnsi="Arial"/>
          <w:lang w:val="es-ES"/>
        </w:rPr>
        <w:t xml:space="preserve">Ocupaciones temporales excepcionales de vías pecuarias; 2. Vinculación entre el régimen de aprovechamiento de los caudales y los derechos de aprovechamiento de aguas privadas; 3. Desvinculación entre la declaración de Asimilado a Fuera de Ordenación y la exigencia de evaluación ambiental previa; 4. Caminos privados de uso público y ejercicio de las facultades relativas al dominio público marítimo-terrestre; 5. Revocación de la licencia de armas por caza en época de veda; 6. Suficiencia de la memoria económica en la aprobación o modificación de planes de ordenación de los recursos naturales; 7. </w:t>
      </w:r>
      <w:r w:rsidR="00BC1FD4" w:rsidRPr="00BC1FD4">
        <w:rPr>
          <w:rFonts w:ascii="Arial" w:hAnsi="Arial"/>
          <w:lang w:val="pt-PT"/>
        </w:rPr>
        <w:t>Diferencia entre “cazar” y “estar cazando”.</w:t>
      </w:r>
      <w:r w:rsidR="00BC1FD4" w:rsidRPr="00BC1FD4">
        <w:rPr>
          <w:rFonts w:ascii="Arial" w:hAnsi="Arial"/>
          <w:lang w:val="pt-PT"/>
        </w:rPr>
        <w:t xml:space="preserve"> </w:t>
      </w:r>
    </w:p>
    <w:p w14:paraId="2049D5F0" w14:textId="7D618797" w:rsidR="000620B9" w:rsidRDefault="000620B9" w:rsidP="000620B9">
      <w:pPr>
        <w:rPr>
          <w:rFonts w:ascii="Arial" w:hAnsi="Arial"/>
          <w:lang w:val="pt-BR"/>
        </w:rPr>
      </w:pPr>
    </w:p>
    <w:p w14:paraId="219BA64A" w14:textId="3B7DA98D" w:rsidR="00093D29" w:rsidRPr="00093D29" w:rsidRDefault="00093D29" w:rsidP="00093D29">
      <w:pPr>
        <w:spacing w:after="120"/>
        <w:rPr>
          <w:rFonts w:ascii="Arial" w:eastAsia="Times New Roman" w:hAnsi="Arial"/>
          <w:szCs w:val="24"/>
          <w:lang w:val="es-ES" w:eastAsia="es-ES"/>
        </w:rPr>
      </w:pPr>
      <w:r w:rsidRPr="00093D29">
        <w:rPr>
          <w:rFonts w:ascii="Arial" w:eastAsia="Times New Roman" w:hAnsi="Arial"/>
          <w:szCs w:val="24"/>
          <w:lang w:val="es-ES" w:eastAsia="es-ES"/>
        </w:rPr>
        <w:t xml:space="preserve">La presente crónica abarca el período comprendido entre </w:t>
      </w:r>
      <w:r w:rsidR="008D444B" w:rsidRPr="00093D29">
        <w:rPr>
          <w:rFonts w:ascii="Arial" w:eastAsia="Times New Roman" w:hAnsi="Arial"/>
          <w:b/>
          <w:szCs w:val="24"/>
          <w:lang w:val="es-ES" w:eastAsia="es-ES"/>
        </w:rPr>
        <w:t>septiembre</w:t>
      </w:r>
      <w:r w:rsidRPr="00093D29">
        <w:rPr>
          <w:rFonts w:ascii="Arial" w:eastAsia="Times New Roman" w:hAnsi="Arial"/>
          <w:b/>
          <w:szCs w:val="24"/>
          <w:lang w:val="es-ES" w:eastAsia="es-ES"/>
        </w:rPr>
        <w:t xml:space="preserve"> de 2021 y </w:t>
      </w:r>
      <w:r w:rsidR="008D444B">
        <w:rPr>
          <w:rFonts w:ascii="Arial" w:eastAsia="Times New Roman" w:hAnsi="Arial"/>
          <w:b/>
          <w:szCs w:val="24"/>
          <w:lang w:val="es-ES" w:eastAsia="es-ES"/>
        </w:rPr>
        <w:t>j</w:t>
      </w:r>
      <w:r w:rsidRPr="00093D29">
        <w:rPr>
          <w:rFonts w:ascii="Arial" w:eastAsia="Times New Roman" w:hAnsi="Arial"/>
          <w:b/>
          <w:szCs w:val="24"/>
          <w:lang w:val="es-ES" w:eastAsia="es-ES"/>
        </w:rPr>
        <w:t>unio de 2022</w:t>
      </w:r>
      <w:r w:rsidRPr="006241EF">
        <w:rPr>
          <w:rStyle w:val="Refdenotaalpie"/>
          <w:rFonts w:ascii="Arial" w:eastAsia="Times New Roman" w:hAnsi="Arial"/>
          <w:b/>
          <w:szCs w:val="24"/>
          <w:lang w:eastAsia="es-ES"/>
        </w:rPr>
        <w:footnoteReference w:id="1"/>
      </w:r>
      <w:r w:rsidRPr="00093D29">
        <w:rPr>
          <w:rFonts w:ascii="Arial" w:eastAsia="Times New Roman" w:hAnsi="Arial"/>
          <w:b/>
          <w:szCs w:val="24"/>
          <w:lang w:val="es-ES" w:eastAsia="es-ES"/>
        </w:rPr>
        <w:t>.</w:t>
      </w:r>
    </w:p>
    <w:p w14:paraId="48D600B0" w14:textId="27A2B7BA" w:rsidR="00CB043D" w:rsidRPr="004A2A1F" w:rsidRDefault="00CB043D" w:rsidP="006127B4">
      <w:pPr>
        <w:pStyle w:val="Ttulo1"/>
        <w:rPr>
          <w:rFonts w:ascii="Arial" w:hAnsi="Arial"/>
          <w:lang w:val="es-ES"/>
        </w:rPr>
      </w:pPr>
      <w:r w:rsidRPr="004A2A1F">
        <w:rPr>
          <w:rFonts w:ascii="Arial" w:hAnsi="Arial"/>
          <w:lang w:val="es-ES"/>
        </w:rPr>
        <w:t xml:space="preserve">1. </w:t>
      </w:r>
      <w:r w:rsidR="004A2A1F" w:rsidRPr="004A2A1F">
        <w:rPr>
          <w:rFonts w:ascii="Arial" w:hAnsi="Arial"/>
          <w:lang w:val="es-ES"/>
        </w:rPr>
        <w:t>OCUPACIONES TEMPORALES EXCEPCIONALES DE VÍAS PECUARIAS</w:t>
      </w:r>
    </w:p>
    <w:p w14:paraId="47068B87" w14:textId="3D0BC75A" w:rsidR="00AA62EF" w:rsidRPr="00AA62EF" w:rsidRDefault="00AA62EF" w:rsidP="00AA62EF">
      <w:pPr>
        <w:spacing w:after="120"/>
        <w:rPr>
          <w:rFonts w:ascii="Arial" w:hAnsi="Arial"/>
          <w:bCs/>
          <w:szCs w:val="24"/>
          <w:lang w:val="es-ES" w:eastAsia="es-ES"/>
        </w:rPr>
      </w:pPr>
      <w:r w:rsidRPr="00AA62EF">
        <w:rPr>
          <w:rFonts w:ascii="Arial" w:hAnsi="Arial"/>
          <w:bCs/>
          <w:szCs w:val="24"/>
          <w:lang w:val="es-ES" w:eastAsia="es-ES"/>
        </w:rPr>
        <w:t>&lt;</w:t>
      </w:r>
      <w:hyperlink r:id="rId8" w:history="1">
        <w:r w:rsidRPr="00AA62EF">
          <w:rPr>
            <w:rStyle w:val="Hipervnculo"/>
            <w:rFonts w:ascii="Arial" w:hAnsi="Arial" w:cs="Arial"/>
            <w:bCs/>
            <w:szCs w:val="24"/>
            <w:lang w:val="es-ES" w:eastAsia="es-ES"/>
          </w:rPr>
          <w:t xml:space="preserve">STSJA de 23 de marzo de 2022, </w:t>
        </w:r>
        <w:proofErr w:type="spellStart"/>
        <w:r w:rsidRPr="00AA62EF">
          <w:rPr>
            <w:rStyle w:val="Hipervnculo"/>
            <w:rFonts w:ascii="Arial" w:hAnsi="Arial" w:cs="Arial"/>
            <w:bCs/>
            <w:szCs w:val="24"/>
            <w:lang w:val="es-ES" w:eastAsia="es-ES"/>
          </w:rPr>
          <w:t>rec.</w:t>
        </w:r>
        <w:proofErr w:type="spellEnd"/>
        <w:r w:rsidRPr="00AA62EF">
          <w:rPr>
            <w:rStyle w:val="Hipervnculo"/>
            <w:rFonts w:ascii="Arial" w:hAnsi="Arial" w:cs="Arial"/>
            <w:bCs/>
            <w:szCs w:val="24"/>
            <w:lang w:val="es-ES" w:eastAsia="es-ES"/>
          </w:rPr>
          <w:t xml:space="preserve"> 516/2019</w:t>
        </w:r>
      </w:hyperlink>
      <w:r w:rsidRPr="00AA62EF">
        <w:rPr>
          <w:rFonts w:ascii="Arial" w:hAnsi="Arial"/>
          <w:bCs/>
          <w:szCs w:val="24"/>
          <w:lang w:val="es-ES" w:eastAsia="es-ES"/>
        </w:rPr>
        <w:t>&gt;</w:t>
      </w:r>
    </w:p>
    <w:p w14:paraId="61239215" w14:textId="77777777" w:rsidR="00AA62EF" w:rsidRPr="00AA62EF" w:rsidRDefault="00AA62EF" w:rsidP="00AA62EF">
      <w:pPr>
        <w:spacing w:after="120"/>
        <w:rPr>
          <w:rFonts w:ascii="Arial" w:hAnsi="Arial"/>
          <w:bCs/>
          <w:szCs w:val="24"/>
          <w:lang w:val="es-ES" w:eastAsia="es-ES"/>
        </w:rPr>
      </w:pPr>
      <w:r w:rsidRPr="00AA62EF">
        <w:rPr>
          <w:rFonts w:ascii="Arial" w:hAnsi="Arial"/>
          <w:bCs/>
          <w:szCs w:val="24"/>
          <w:lang w:val="es-ES" w:eastAsia="es-ES"/>
        </w:rPr>
        <w:t xml:space="preserve">Se plantea en la STSJA (Sala de lo Contencioso-administrativo, Sección 3ª, Sede de Sevilla), de 23 de marzo de 2022, </w:t>
      </w:r>
      <w:proofErr w:type="spellStart"/>
      <w:r w:rsidRPr="00AA62EF">
        <w:rPr>
          <w:rFonts w:ascii="Arial" w:hAnsi="Arial"/>
          <w:bCs/>
          <w:szCs w:val="24"/>
          <w:lang w:val="es-ES" w:eastAsia="es-ES"/>
        </w:rPr>
        <w:t>rec.</w:t>
      </w:r>
      <w:proofErr w:type="spellEnd"/>
      <w:r w:rsidRPr="00AA62EF">
        <w:rPr>
          <w:rFonts w:ascii="Arial" w:hAnsi="Arial"/>
          <w:bCs/>
          <w:szCs w:val="24"/>
          <w:lang w:val="es-ES" w:eastAsia="es-ES"/>
        </w:rPr>
        <w:t xml:space="preserve"> 516/2022, la verificación de los requisitos para la ocupación temporal extraordinaria de vías pecuarias y terrenos anexos a las mismas.</w:t>
      </w:r>
    </w:p>
    <w:p w14:paraId="732673F9" w14:textId="77777777" w:rsidR="001829A8" w:rsidRPr="001829A8" w:rsidRDefault="001829A8" w:rsidP="001829A8">
      <w:pPr>
        <w:spacing w:after="120"/>
        <w:rPr>
          <w:rFonts w:ascii="Arial" w:hAnsi="Arial"/>
          <w:bCs/>
          <w:szCs w:val="24"/>
          <w:lang w:val="es-ES" w:eastAsia="es-ES"/>
        </w:rPr>
      </w:pPr>
      <w:r w:rsidRPr="001829A8">
        <w:rPr>
          <w:rFonts w:ascii="Arial" w:hAnsi="Arial"/>
          <w:bCs/>
          <w:szCs w:val="24"/>
          <w:lang w:val="es-ES" w:eastAsia="es-ES"/>
        </w:rPr>
        <w:t>Se recuerda, así, el art. 14 de la Ley 3/1995, de 23 de marzo, de Vías Pecuarias, según el cual “</w:t>
      </w:r>
      <w:r w:rsidRPr="001829A8">
        <w:rPr>
          <w:rFonts w:ascii="Arial" w:hAnsi="Arial"/>
          <w:bCs/>
          <w:i/>
          <w:szCs w:val="24"/>
          <w:lang w:val="es-ES" w:eastAsia="es-ES"/>
        </w:rPr>
        <w:t>por razones de interés público y, excepcionalmente, y de forma motivada, por razones de interés particular, se podrán autorizar ocupaciones de carácter temporal, siempre que tales ocupaciones no alteren el tránsito ganadero, ni impidan los demás usos compatibles o complementarios con aquel</w:t>
      </w:r>
      <w:r w:rsidRPr="001829A8">
        <w:rPr>
          <w:rFonts w:ascii="Arial" w:hAnsi="Arial"/>
          <w:bCs/>
          <w:szCs w:val="24"/>
          <w:lang w:val="es-ES" w:eastAsia="es-ES"/>
        </w:rPr>
        <w:t xml:space="preserve">”. En el caso de solicitudes particulares de ocupación –en el caso estudiado se planteaba la ocupación para un proyecto de explotación porcina-, se hace imprescindible, pues, motivar de forma suficiente, en tanto posibilidad </w:t>
      </w:r>
      <w:r w:rsidRPr="001829A8">
        <w:rPr>
          <w:rFonts w:ascii="Arial" w:hAnsi="Arial"/>
          <w:bCs/>
          <w:szCs w:val="24"/>
          <w:lang w:val="es-ES" w:eastAsia="es-ES"/>
        </w:rPr>
        <w:lastRenderedPageBreak/>
        <w:t>excepcional, la autorización administrativa correspondiente, y justificar la indemnidad de la actividad particular en relación con la funcionalidad, originaria o vinculada, de la vía pecuaria afectada.</w:t>
      </w:r>
    </w:p>
    <w:p w14:paraId="4A3AF459" w14:textId="6114FED4" w:rsidR="004A2A1F" w:rsidRDefault="001829A8" w:rsidP="001829A8">
      <w:pPr>
        <w:rPr>
          <w:rFonts w:ascii="Arial" w:hAnsi="Arial"/>
          <w:bCs/>
          <w:szCs w:val="24"/>
          <w:lang w:val="es-ES" w:eastAsia="es-ES"/>
        </w:rPr>
      </w:pPr>
      <w:r w:rsidRPr="001829A8">
        <w:rPr>
          <w:rFonts w:ascii="Arial" w:hAnsi="Arial"/>
          <w:bCs/>
          <w:szCs w:val="24"/>
          <w:lang w:val="es-ES" w:eastAsia="es-ES"/>
        </w:rPr>
        <w:t>En este caso, entiende el TSJA que no se han acreditado ni motivado suficientemente las circunstancias excepcionales que motivarían la autorización administrativa de ocupación, así como tampoco, genéricamente, la propia motivación de la decisión a adoptar, sin que quepa acudir, como se pretendía, “</w:t>
      </w:r>
      <w:r w:rsidRPr="001829A8">
        <w:rPr>
          <w:rFonts w:ascii="Arial" w:hAnsi="Arial"/>
          <w:bCs/>
          <w:i/>
          <w:szCs w:val="24"/>
          <w:lang w:val="es-ES" w:eastAsia="es-ES"/>
        </w:rPr>
        <w:t>a fundamentación alguna de dicha excepcionalidad recogida en informes obrantes en el expediente administrativo, ni cabe remitirse, sin más, a la documentación aportada por la parte interesada, que parte, precisamente, de la ocupación previa de los terrenos</w:t>
      </w:r>
      <w:r w:rsidRPr="001829A8">
        <w:rPr>
          <w:rFonts w:ascii="Arial" w:hAnsi="Arial"/>
          <w:bCs/>
          <w:szCs w:val="24"/>
          <w:lang w:val="es-ES" w:eastAsia="es-ES"/>
        </w:rPr>
        <w:t>”. En síntesis, el hecho de que los terrenos ya estuvieran ocupados no es razón suficiente, ni motivación excepcional, para justificar, de acuerdo con la Ley, la ocupación temporal de los mismos</w:t>
      </w:r>
      <w:r>
        <w:rPr>
          <w:rFonts w:ascii="Arial" w:hAnsi="Arial"/>
          <w:bCs/>
          <w:szCs w:val="24"/>
          <w:lang w:val="es-ES" w:eastAsia="es-ES"/>
        </w:rPr>
        <w:t>.</w:t>
      </w:r>
    </w:p>
    <w:p w14:paraId="7D80F2F0" w14:textId="299EB014" w:rsidR="001829A8" w:rsidRPr="008D444B" w:rsidRDefault="001829A8" w:rsidP="001829A8">
      <w:pPr>
        <w:rPr>
          <w:rFonts w:ascii="Arial" w:hAnsi="Arial"/>
          <w:b/>
          <w:lang w:val="es-ES"/>
        </w:rPr>
      </w:pPr>
      <w:r>
        <w:rPr>
          <w:rFonts w:ascii="Arial" w:hAnsi="Arial"/>
          <w:b/>
          <w:szCs w:val="24"/>
          <w:lang w:val="es-ES" w:eastAsia="es-ES"/>
        </w:rPr>
        <w:t xml:space="preserve">2. </w:t>
      </w:r>
      <w:r w:rsidR="008D444B">
        <w:rPr>
          <w:rFonts w:ascii="Arial" w:hAnsi="Arial"/>
          <w:b/>
          <w:szCs w:val="24"/>
          <w:lang w:val="es-ES" w:eastAsia="es-ES"/>
        </w:rPr>
        <w:t>V</w:t>
      </w:r>
      <w:r w:rsidR="008D444B" w:rsidRPr="008D444B">
        <w:rPr>
          <w:rFonts w:ascii="Arial" w:hAnsi="Arial"/>
          <w:b/>
          <w:szCs w:val="24"/>
          <w:lang w:val="es-ES"/>
        </w:rPr>
        <w:t>INCULACIÓN ENTRE EL RÉGIMEN DE APROVECHAMIENTO DE LOS CAUDALES Y LOS DERECHOS DE APROVECHAMIENTO DE AGUAS PRIVADAS</w:t>
      </w:r>
    </w:p>
    <w:p w14:paraId="7041F94E" w14:textId="7E3E9904" w:rsidR="005D1B3C" w:rsidRPr="00926D4E" w:rsidRDefault="00926D4E" w:rsidP="005D1B3C">
      <w:pPr>
        <w:widowControl w:val="0"/>
        <w:suppressAutoHyphens/>
        <w:spacing w:after="120"/>
        <w:rPr>
          <w:rFonts w:ascii="Arial" w:hAnsi="Arial"/>
          <w:szCs w:val="24"/>
          <w:lang w:val="es-ES"/>
        </w:rPr>
      </w:pPr>
      <w:r w:rsidRPr="00926D4E">
        <w:rPr>
          <w:rFonts w:ascii="Arial" w:hAnsi="Arial"/>
          <w:szCs w:val="24"/>
          <w:lang w:val="es-ES"/>
        </w:rPr>
        <w:t>&lt;</w:t>
      </w:r>
      <w:hyperlink r:id="rId9" w:history="1">
        <w:r w:rsidR="005D1B3C" w:rsidRPr="005D1B3C">
          <w:rPr>
            <w:rStyle w:val="Hipervnculo"/>
            <w:rFonts w:ascii="Arial" w:hAnsi="Arial" w:cs="Arial"/>
            <w:szCs w:val="24"/>
            <w:lang w:val="es-ES"/>
          </w:rPr>
          <w:t xml:space="preserve">STSJA de 23 de marzo de 2022, </w:t>
        </w:r>
        <w:proofErr w:type="spellStart"/>
        <w:r w:rsidR="005D1B3C" w:rsidRPr="005D1B3C">
          <w:rPr>
            <w:rStyle w:val="Hipervnculo"/>
            <w:rFonts w:ascii="Arial" w:hAnsi="Arial" w:cs="Arial"/>
            <w:szCs w:val="24"/>
            <w:lang w:val="es-ES"/>
          </w:rPr>
          <w:t>rec.</w:t>
        </w:r>
        <w:proofErr w:type="spellEnd"/>
        <w:r w:rsidR="005D1B3C" w:rsidRPr="005D1B3C">
          <w:rPr>
            <w:rStyle w:val="Hipervnculo"/>
            <w:rFonts w:ascii="Arial" w:hAnsi="Arial" w:cs="Arial"/>
            <w:szCs w:val="24"/>
            <w:lang w:val="es-ES"/>
          </w:rPr>
          <w:t xml:space="preserve"> 566/2019</w:t>
        </w:r>
      </w:hyperlink>
      <w:r w:rsidRPr="00926D4E">
        <w:rPr>
          <w:rFonts w:ascii="Arial" w:hAnsi="Arial"/>
          <w:szCs w:val="24"/>
          <w:lang w:val="es-ES"/>
        </w:rPr>
        <w:t>&gt;</w:t>
      </w:r>
    </w:p>
    <w:p w14:paraId="2E060BC4" w14:textId="77777777" w:rsidR="005D1B3C" w:rsidRPr="005D1B3C" w:rsidRDefault="005D1B3C" w:rsidP="005D1B3C">
      <w:pPr>
        <w:widowControl w:val="0"/>
        <w:suppressAutoHyphens/>
        <w:spacing w:after="120"/>
        <w:rPr>
          <w:rFonts w:ascii="Arial" w:hAnsi="Arial"/>
          <w:szCs w:val="24"/>
          <w:lang w:val="es-ES"/>
        </w:rPr>
      </w:pPr>
      <w:r w:rsidRPr="005D1B3C">
        <w:rPr>
          <w:rFonts w:ascii="Arial" w:hAnsi="Arial"/>
          <w:szCs w:val="24"/>
          <w:lang w:val="es-ES"/>
        </w:rPr>
        <w:t xml:space="preserve">Se plantea la STSJA (Sala de lo Contencioso-administrativo, Sección 3ª, Sede de Sevilla) de 23 de marzo de 2022, </w:t>
      </w:r>
      <w:proofErr w:type="spellStart"/>
      <w:r w:rsidRPr="005D1B3C">
        <w:rPr>
          <w:rFonts w:ascii="Arial" w:hAnsi="Arial"/>
          <w:szCs w:val="24"/>
          <w:lang w:val="es-ES"/>
        </w:rPr>
        <w:t>rec.</w:t>
      </w:r>
      <w:proofErr w:type="spellEnd"/>
      <w:r w:rsidRPr="005D1B3C">
        <w:rPr>
          <w:rFonts w:ascii="Arial" w:hAnsi="Arial"/>
          <w:szCs w:val="24"/>
          <w:lang w:val="es-ES"/>
        </w:rPr>
        <w:t xml:space="preserve"> 566/2019, la compatibilidad ambiental de una futura actuación de almacenamiento y regulación de aguas subterráneas. En concreto, se trataría de verificar si construir un depósito para regular el agua de riego afectaría necesariamente al ritmo y cantidad de agua extraída del acuífero correspondiente.</w:t>
      </w:r>
    </w:p>
    <w:p w14:paraId="30F98A78" w14:textId="15C90ACA" w:rsidR="005D1B3C" w:rsidRDefault="003C7711" w:rsidP="00CB043D">
      <w:pPr>
        <w:rPr>
          <w:rFonts w:ascii="Arial" w:hAnsi="Arial"/>
          <w:szCs w:val="24"/>
          <w:lang w:val="es-ES"/>
        </w:rPr>
      </w:pPr>
      <w:r w:rsidRPr="003C7711">
        <w:rPr>
          <w:rFonts w:ascii="Arial" w:hAnsi="Arial"/>
          <w:szCs w:val="24"/>
          <w:lang w:val="es-ES"/>
        </w:rPr>
        <w:t xml:space="preserve">Según el TSJA, hay una evidente interconexión entre el proyecto para el que se solicita la Autorización Ambiental Unificada, de construcción de una balsa de regulación de aguas para el riego, y el dominio público hidráulico, de relevancia medioambiental, concretamente, en el espacio de Doñana. Y, en principio, la construcción de esta balsa supondría una modificación de las características en el régimen del aprovechamiento. Dado que los promotores no han considerado como modificación sustancial dicho nuevo régimen de explotación, tampoco se han evaluado y contrastado convenientemente las diferencias ambientales y la influencia en las fluctuaciones del acuífero del cambio de </w:t>
      </w:r>
      <w:r w:rsidRPr="003C7711">
        <w:rPr>
          <w:rFonts w:ascii="Arial" w:hAnsi="Arial"/>
          <w:szCs w:val="24"/>
          <w:lang w:val="es-ES"/>
        </w:rPr>
        <w:lastRenderedPageBreak/>
        <w:t>condiciones de explotación de la finca, lo cual conduce a la denegación de la Autorización Ambiental Unificada en tanto que no se acredita la debida actualización de la concesión de aprovechamiento de aguas subterráneas que permita el uso y explotación previsto en el proyecto, así como la inocuidad sobre el medio ambiente de las actuaciones y cambios del régimen de explotación</w:t>
      </w:r>
      <w:r w:rsidRPr="003C7711">
        <w:rPr>
          <w:rFonts w:ascii="Arial" w:hAnsi="Arial"/>
          <w:szCs w:val="24"/>
          <w:lang w:val="es-ES"/>
        </w:rPr>
        <w:t>.</w:t>
      </w:r>
    </w:p>
    <w:p w14:paraId="5CAF946A" w14:textId="1A0E1302" w:rsidR="003C7711" w:rsidRPr="0001389A" w:rsidRDefault="003C7711" w:rsidP="00CB043D">
      <w:pPr>
        <w:rPr>
          <w:rFonts w:ascii="Arial" w:hAnsi="Arial"/>
          <w:b/>
          <w:bCs/>
          <w:lang w:val="es-ES"/>
        </w:rPr>
      </w:pPr>
      <w:r>
        <w:rPr>
          <w:rFonts w:ascii="Arial" w:hAnsi="Arial"/>
          <w:b/>
          <w:bCs/>
          <w:szCs w:val="24"/>
          <w:lang w:val="es-ES"/>
        </w:rPr>
        <w:t xml:space="preserve">3. </w:t>
      </w:r>
      <w:r w:rsidR="0001389A">
        <w:rPr>
          <w:rFonts w:ascii="Arial" w:hAnsi="Arial"/>
          <w:b/>
          <w:bCs/>
          <w:szCs w:val="24"/>
          <w:lang w:val="es-ES"/>
        </w:rPr>
        <w:t>D</w:t>
      </w:r>
      <w:r w:rsidR="0001389A" w:rsidRPr="0001389A">
        <w:rPr>
          <w:rFonts w:ascii="Arial" w:hAnsi="Arial"/>
          <w:b/>
          <w:szCs w:val="24"/>
          <w:lang w:val="es-ES"/>
        </w:rPr>
        <w:t>ESVINCULACIÓN ENTRE LA DECLARACIÓN DE ASIMILADO A FUERA DE ORDENACIÓN Y LA EXIGENCIA DE EVALUACIÓN AMBIENTAL PREVIA</w:t>
      </w:r>
    </w:p>
    <w:p w14:paraId="38C9D264" w14:textId="352DDF68" w:rsidR="005732AC" w:rsidRPr="005732AC" w:rsidRDefault="005732AC" w:rsidP="005732AC">
      <w:pPr>
        <w:widowControl w:val="0"/>
        <w:suppressAutoHyphens/>
        <w:spacing w:after="120"/>
        <w:rPr>
          <w:rFonts w:ascii="Arial" w:hAnsi="Arial"/>
          <w:szCs w:val="24"/>
          <w:lang w:val="es-ES"/>
        </w:rPr>
      </w:pPr>
      <w:r w:rsidRPr="005732AC">
        <w:rPr>
          <w:rFonts w:ascii="Arial" w:hAnsi="Arial"/>
          <w:szCs w:val="24"/>
          <w:lang w:val="es-ES"/>
        </w:rPr>
        <w:t>&lt;</w:t>
      </w:r>
      <w:hyperlink r:id="rId10" w:history="1">
        <w:r w:rsidRPr="005732AC">
          <w:rPr>
            <w:rStyle w:val="Hipervnculo"/>
            <w:rFonts w:ascii="Arial" w:hAnsi="Arial" w:cs="Arial"/>
            <w:szCs w:val="24"/>
            <w:lang w:val="es-ES"/>
          </w:rPr>
          <w:t xml:space="preserve">STSJA de 19 de mayo de 2022, </w:t>
        </w:r>
        <w:proofErr w:type="spellStart"/>
        <w:r w:rsidRPr="005732AC">
          <w:rPr>
            <w:rStyle w:val="Hipervnculo"/>
            <w:rFonts w:ascii="Arial" w:hAnsi="Arial" w:cs="Arial"/>
            <w:szCs w:val="24"/>
            <w:lang w:val="es-ES"/>
          </w:rPr>
          <w:t>rec.</w:t>
        </w:r>
        <w:proofErr w:type="spellEnd"/>
        <w:r w:rsidRPr="005732AC">
          <w:rPr>
            <w:rStyle w:val="Hipervnculo"/>
            <w:rFonts w:ascii="Arial" w:hAnsi="Arial" w:cs="Arial"/>
            <w:szCs w:val="24"/>
            <w:lang w:val="es-ES"/>
          </w:rPr>
          <w:t xml:space="preserve"> 1450/2020</w:t>
        </w:r>
      </w:hyperlink>
      <w:r w:rsidRPr="005732AC">
        <w:rPr>
          <w:rFonts w:ascii="Arial" w:hAnsi="Arial"/>
          <w:szCs w:val="24"/>
          <w:lang w:val="es-ES"/>
        </w:rPr>
        <w:t>&gt;</w:t>
      </w:r>
    </w:p>
    <w:p w14:paraId="31991EE5" w14:textId="77777777" w:rsidR="005732AC" w:rsidRPr="005732AC" w:rsidRDefault="005732AC" w:rsidP="005732AC">
      <w:pPr>
        <w:widowControl w:val="0"/>
        <w:suppressAutoHyphens/>
        <w:spacing w:after="120"/>
        <w:rPr>
          <w:rFonts w:ascii="Arial" w:hAnsi="Arial"/>
          <w:szCs w:val="24"/>
          <w:lang w:val="es-ES"/>
        </w:rPr>
      </w:pPr>
      <w:r w:rsidRPr="005732AC">
        <w:rPr>
          <w:rFonts w:ascii="Arial" w:hAnsi="Arial"/>
          <w:szCs w:val="24"/>
          <w:lang w:val="es-ES"/>
        </w:rPr>
        <w:t xml:space="preserve">Se enfrenta la STSJA (Sala de lo Contencioso-administrativo, Sección 4ª, Sede de Granada) de 19 de mayo de 2022, </w:t>
      </w:r>
      <w:proofErr w:type="spellStart"/>
      <w:r w:rsidRPr="005732AC">
        <w:rPr>
          <w:rFonts w:ascii="Arial" w:hAnsi="Arial"/>
          <w:szCs w:val="24"/>
          <w:lang w:val="es-ES"/>
        </w:rPr>
        <w:t>rec.</w:t>
      </w:r>
      <w:proofErr w:type="spellEnd"/>
      <w:r w:rsidRPr="005732AC">
        <w:rPr>
          <w:rFonts w:ascii="Arial" w:hAnsi="Arial"/>
          <w:szCs w:val="24"/>
          <w:lang w:val="es-ES"/>
        </w:rPr>
        <w:t xml:space="preserve"> 1450/2020, a la cuestión del reconocimiento en situación legal de asimilado a fuera de ordenación de determinadas edificaciones de uso industrial, destinadas a desguace, almacenamiento y tratamiento de vehículos al final de su vida útil.</w:t>
      </w:r>
    </w:p>
    <w:p w14:paraId="5F4D74C2" w14:textId="77777777" w:rsidR="0029097F" w:rsidRPr="0029097F" w:rsidRDefault="0029097F" w:rsidP="0029097F">
      <w:pPr>
        <w:widowControl w:val="0"/>
        <w:suppressAutoHyphens/>
        <w:spacing w:after="120"/>
        <w:rPr>
          <w:rFonts w:ascii="Arial" w:hAnsi="Arial"/>
          <w:szCs w:val="24"/>
          <w:lang w:val="es-ES"/>
        </w:rPr>
      </w:pPr>
      <w:r w:rsidRPr="0029097F">
        <w:rPr>
          <w:rFonts w:ascii="Arial" w:hAnsi="Arial"/>
          <w:szCs w:val="24"/>
          <w:lang w:val="es-ES"/>
        </w:rPr>
        <w:t>Antes de entrar en el fondo del asunto, reitera el TSJA la doctrina de la imposibilidad de impugnabilidad autónoma no ya de las declaraciones de impacto ambiental, insertas, con carácter instrumental o medial, dentro de otro procedimiento (sustantivo) superior, sino de los meros informes sobre interpretación y aplicación de los preceptos legales. Su naturaleza de acto de trámite los hace, obviamente, no susceptibles de impugnación independiente ante la jurisdicción contencioso-administrativa.</w:t>
      </w:r>
    </w:p>
    <w:p w14:paraId="70E07C52" w14:textId="77777777" w:rsidR="003D4E9C" w:rsidRPr="003D4E9C" w:rsidRDefault="003D4E9C" w:rsidP="003D4E9C">
      <w:pPr>
        <w:widowControl w:val="0"/>
        <w:suppressAutoHyphens/>
        <w:spacing w:after="120"/>
        <w:rPr>
          <w:rFonts w:ascii="Arial" w:hAnsi="Arial"/>
          <w:szCs w:val="24"/>
          <w:lang w:val="es-ES"/>
        </w:rPr>
      </w:pPr>
      <w:r w:rsidRPr="003D4E9C">
        <w:rPr>
          <w:rFonts w:ascii="Arial" w:hAnsi="Arial"/>
          <w:szCs w:val="24"/>
          <w:lang w:val="es-ES"/>
        </w:rPr>
        <w:t xml:space="preserve">En cuanto a la vinculación (material) entre la declaración de asimilado a fuera de ordenación y la necesidad de autorización ambiental unificada, entiende el TSJA que no cabe afirmar la existencia legal de tal vinculación. El presupuesto básico de la declaración de Asimilado a Fuera de Ordenación es que se trate de una edificación irregular, terminada y respecto de la cual no resulte posible la adopción de medidas de protección de la legalidad urbanística ni de restablecimiento del orden jurídico perturbado por haber transcurrido el plazo para su ejercicio. Junto a ello, debe acreditarse la aptitud de la edificación terminada para el uso a la que se destina, mediante certificación que acredite que reúne las condiciones de seguridad, habitabilidad y salubridad. Pero todo </w:t>
      </w:r>
      <w:r w:rsidRPr="003D4E9C">
        <w:rPr>
          <w:rFonts w:ascii="Arial" w:hAnsi="Arial"/>
          <w:szCs w:val="24"/>
          <w:lang w:val="es-ES"/>
        </w:rPr>
        <w:lastRenderedPageBreak/>
        <w:t>ello, concluye el TSJA, con independencia de la procedencia o no de exigir la autorización ambiental unificada. Por tanto, “</w:t>
      </w:r>
      <w:r w:rsidRPr="003D4E9C">
        <w:rPr>
          <w:rFonts w:ascii="Arial" w:hAnsi="Arial"/>
          <w:i/>
          <w:szCs w:val="24"/>
          <w:lang w:val="es-ES"/>
        </w:rPr>
        <w:t>no resulta ajustado a derecho vincular necesariamente la declaración municipal a la existencia de dicha autorización (o de la calificación medioambiental autonómica que corresponda), y menos cuando la denegación de ésta última se basa solo en la ilegalidad urbanística de la actuación y no en aspectos medioambientales, siendo dicha ilegalidad obvia al encontrarnos precisamente frente a la pretensión de declaración de asimilado a fuera de ordenación</w:t>
      </w:r>
      <w:r w:rsidRPr="003D4E9C">
        <w:rPr>
          <w:rFonts w:ascii="Arial" w:hAnsi="Arial"/>
          <w:szCs w:val="24"/>
          <w:lang w:val="es-ES"/>
        </w:rPr>
        <w:t>”.</w:t>
      </w:r>
    </w:p>
    <w:p w14:paraId="63A4FEC4" w14:textId="713AF3B6" w:rsidR="0001389A" w:rsidRDefault="003D4E9C" w:rsidP="003D4E9C">
      <w:pPr>
        <w:rPr>
          <w:rFonts w:ascii="Arial" w:hAnsi="Arial"/>
          <w:szCs w:val="24"/>
          <w:lang w:val="es-ES"/>
        </w:rPr>
      </w:pPr>
      <w:r w:rsidRPr="003D4E9C">
        <w:rPr>
          <w:rFonts w:ascii="Arial" w:hAnsi="Arial"/>
          <w:szCs w:val="24"/>
          <w:lang w:val="es-ES"/>
        </w:rPr>
        <w:t>Por lo tanto, no es incompatible la declaración de Asimilado a Fuera de Ordenación con la exigibilidad de la correspondiente autorización medioambiental, sea la autorización ambiental unificada o sea otra</w:t>
      </w:r>
      <w:r>
        <w:rPr>
          <w:rFonts w:ascii="Arial" w:hAnsi="Arial"/>
          <w:szCs w:val="24"/>
          <w:lang w:val="es-ES"/>
        </w:rPr>
        <w:t>.</w:t>
      </w:r>
    </w:p>
    <w:p w14:paraId="7DA47869" w14:textId="55FE1874" w:rsidR="003D4E9C" w:rsidRPr="00434548" w:rsidRDefault="00434548" w:rsidP="003D4E9C">
      <w:pPr>
        <w:rPr>
          <w:rFonts w:ascii="Arial" w:hAnsi="Arial"/>
          <w:b/>
          <w:bCs/>
          <w:lang w:val="es-ES"/>
        </w:rPr>
      </w:pPr>
      <w:r>
        <w:rPr>
          <w:rFonts w:ascii="Arial" w:hAnsi="Arial"/>
          <w:b/>
          <w:bCs/>
          <w:lang w:val="es-ES"/>
        </w:rPr>
        <w:t xml:space="preserve">4. </w:t>
      </w:r>
      <w:r w:rsidRPr="00434548">
        <w:rPr>
          <w:rFonts w:ascii="Arial" w:hAnsi="Arial"/>
          <w:b/>
          <w:bCs/>
          <w:lang w:val="es-ES"/>
        </w:rPr>
        <w:t>C</w:t>
      </w:r>
      <w:r w:rsidRPr="00434548">
        <w:rPr>
          <w:rFonts w:ascii="Arial" w:hAnsi="Arial"/>
          <w:b/>
          <w:bCs/>
          <w:lang w:val="es-ES"/>
        </w:rPr>
        <w:t>AMINOS PRIVADOS DE USO PÚBLICO Y EJERCICIO DE LAS FACULTADES RELATIVAS AL DOMINIO PÚBLICO MARÍTIMO-TERRESTRE</w:t>
      </w:r>
    </w:p>
    <w:p w14:paraId="22AD4479" w14:textId="633EA1B2" w:rsidR="002D55EB" w:rsidRPr="002D55EB" w:rsidRDefault="002D55EB" w:rsidP="002D55EB">
      <w:pPr>
        <w:widowControl w:val="0"/>
        <w:suppressAutoHyphens/>
        <w:spacing w:after="120"/>
        <w:rPr>
          <w:rFonts w:ascii="Arial" w:hAnsi="Arial"/>
          <w:szCs w:val="24"/>
          <w:lang w:val="es-ES"/>
        </w:rPr>
      </w:pPr>
      <w:r w:rsidRPr="002D55EB">
        <w:rPr>
          <w:rFonts w:ascii="Arial" w:hAnsi="Arial"/>
          <w:szCs w:val="24"/>
          <w:lang w:val="es-ES"/>
        </w:rPr>
        <w:t>&lt;</w:t>
      </w:r>
      <w:hyperlink r:id="rId11" w:history="1">
        <w:r w:rsidRPr="002D55EB">
          <w:rPr>
            <w:rStyle w:val="Hipervnculo"/>
            <w:rFonts w:ascii="Arial" w:hAnsi="Arial" w:cs="Arial"/>
            <w:szCs w:val="24"/>
            <w:lang w:val="es-ES"/>
          </w:rPr>
          <w:t xml:space="preserve">STSJA de 25 de mayo de 2022, </w:t>
        </w:r>
        <w:proofErr w:type="spellStart"/>
        <w:r w:rsidRPr="002D55EB">
          <w:rPr>
            <w:rStyle w:val="Hipervnculo"/>
            <w:rFonts w:ascii="Arial" w:hAnsi="Arial" w:cs="Arial"/>
            <w:szCs w:val="24"/>
            <w:lang w:val="es-ES"/>
          </w:rPr>
          <w:t>rec.</w:t>
        </w:r>
        <w:proofErr w:type="spellEnd"/>
        <w:r w:rsidRPr="002D55EB">
          <w:rPr>
            <w:rStyle w:val="Hipervnculo"/>
            <w:rFonts w:ascii="Arial" w:hAnsi="Arial" w:cs="Arial"/>
            <w:szCs w:val="24"/>
            <w:lang w:val="es-ES"/>
          </w:rPr>
          <w:t xml:space="preserve"> 3424/2019</w:t>
        </w:r>
      </w:hyperlink>
      <w:r w:rsidRPr="002D55EB">
        <w:rPr>
          <w:rFonts w:ascii="Arial" w:hAnsi="Arial"/>
          <w:szCs w:val="24"/>
          <w:lang w:val="es-ES"/>
        </w:rPr>
        <w:t>&gt;</w:t>
      </w:r>
    </w:p>
    <w:p w14:paraId="6C289F76" w14:textId="77777777" w:rsidR="002D55EB" w:rsidRPr="002D55EB" w:rsidRDefault="002D55EB" w:rsidP="002D55EB">
      <w:pPr>
        <w:widowControl w:val="0"/>
        <w:suppressAutoHyphens/>
        <w:spacing w:after="120"/>
        <w:rPr>
          <w:rFonts w:ascii="Arial" w:hAnsi="Arial"/>
          <w:szCs w:val="24"/>
          <w:lang w:val="es-ES"/>
        </w:rPr>
      </w:pPr>
      <w:r w:rsidRPr="002D55EB">
        <w:rPr>
          <w:rFonts w:ascii="Arial" w:hAnsi="Arial"/>
          <w:szCs w:val="24"/>
          <w:lang w:val="es-ES"/>
        </w:rPr>
        <w:t xml:space="preserve">Resuelve la STSJA (Sala de lo Contencioso-administrativo, Sección 1ª, Sede de Granada) de 25 de mayo de 2022, </w:t>
      </w:r>
      <w:proofErr w:type="spellStart"/>
      <w:r w:rsidRPr="002D55EB">
        <w:rPr>
          <w:rFonts w:ascii="Arial" w:hAnsi="Arial"/>
          <w:szCs w:val="24"/>
          <w:lang w:val="es-ES"/>
        </w:rPr>
        <w:t>rec.</w:t>
      </w:r>
      <w:proofErr w:type="spellEnd"/>
      <w:r w:rsidRPr="002D55EB">
        <w:rPr>
          <w:rFonts w:ascii="Arial" w:hAnsi="Arial"/>
          <w:szCs w:val="24"/>
          <w:lang w:val="es-ES"/>
        </w:rPr>
        <w:t xml:space="preserve"> 3424/2019, una controversia sobre los usos permitidos en los caminos de titularidad privada pero afectos, durante tiempo, a un uso público, como es el paso al dominio público marítimo-terrestre. Ratifica el TSJA, a la vista de los hechos, dicho carácter de uso público, sin entrar en las cuestiones propias de la titularidad de los terrenos, por ser, de hecho, el único acceso a la playa, y, por tanto, al dominio público marítimo-terrestre. Por ello, no se puede colocar una cadena y unos postes para limitar el paso, controlar el acceso y cobrar el acceso del público a dicha playa.</w:t>
      </w:r>
    </w:p>
    <w:p w14:paraId="6D7A52F9" w14:textId="77777777" w:rsidR="002D55EB" w:rsidRPr="002D55EB" w:rsidRDefault="002D55EB" w:rsidP="002D55EB">
      <w:pPr>
        <w:widowControl w:val="0"/>
        <w:suppressAutoHyphens/>
        <w:spacing w:after="120"/>
        <w:rPr>
          <w:rFonts w:ascii="Arial" w:hAnsi="Arial"/>
          <w:szCs w:val="24"/>
          <w:lang w:val="es-ES"/>
        </w:rPr>
      </w:pPr>
      <w:r w:rsidRPr="002D55EB">
        <w:rPr>
          <w:rFonts w:ascii="Arial" w:hAnsi="Arial"/>
          <w:szCs w:val="24"/>
          <w:lang w:val="es-ES"/>
        </w:rPr>
        <w:t xml:space="preserve">Como se recuerda, las playas son dominio público marítimo-terrestre. Para su protección, en tanto que la utilización es libre y gratuita, la ley impone una serie de limitaciones a los propietarios de predios colindantes, que se traducen en servidumbre, entre ellas, además de la servidumbre de tránsito, la servidumbre de acceso al mar, permitiendo dicho acceso público y gratuito, y recayendo sobre los terrenos colindantes o contiguos al dominio público marítimo-terrestre, en la longitud y anchura que demanden la naturaleza y finalidad del </w:t>
      </w:r>
      <w:r w:rsidRPr="002D55EB">
        <w:rPr>
          <w:rFonts w:ascii="Arial" w:hAnsi="Arial"/>
          <w:szCs w:val="24"/>
          <w:lang w:val="es-ES"/>
        </w:rPr>
        <w:lastRenderedPageBreak/>
        <w:t>acceso.</w:t>
      </w:r>
    </w:p>
    <w:p w14:paraId="76D52E18" w14:textId="67B89FDD" w:rsidR="00434548" w:rsidRDefault="002D55EB" w:rsidP="002D55EB">
      <w:pPr>
        <w:rPr>
          <w:rFonts w:ascii="Arial" w:hAnsi="Arial"/>
          <w:szCs w:val="24"/>
          <w:lang w:val="es-ES"/>
        </w:rPr>
      </w:pPr>
      <w:r w:rsidRPr="002D55EB">
        <w:rPr>
          <w:rFonts w:ascii="Arial" w:hAnsi="Arial"/>
          <w:szCs w:val="24"/>
          <w:lang w:val="es-ES"/>
        </w:rPr>
        <w:t>Por lo tanto, siendo la actividad para la que se solicitó licencia “el cobro de visitas y acceso a bienes naturales de propiedad privada por personas a pie o en vehículos en los parajes propiedad del solicitante”, y siendo las instalaciones previstas para dicha actividad “un punto de control de acceso” y estando situado este punto de control en el único camino que da acceso a la playa de San Pedro, y por tanto, al dominio público marítimo-terrestre, esta actuación supondría una clara afectación al mismo en cuanto que impediría el acceso libre y gratuito a la playa, imponiendo el pago de precio al propietario de la finca donde se ubica el camino cuya titularidad es controvertida, pero no su uso público para acceder a la citada cala</w:t>
      </w:r>
      <w:r w:rsidR="008257D2">
        <w:rPr>
          <w:rFonts w:ascii="Arial" w:hAnsi="Arial"/>
          <w:szCs w:val="24"/>
          <w:lang w:val="es-ES"/>
        </w:rPr>
        <w:t>.</w:t>
      </w:r>
    </w:p>
    <w:p w14:paraId="30D9CEFB" w14:textId="394ABBCA" w:rsidR="008257D2" w:rsidRPr="00BB2EC2" w:rsidRDefault="008257D2" w:rsidP="002D55EB">
      <w:pPr>
        <w:rPr>
          <w:rFonts w:ascii="Arial" w:hAnsi="Arial"/>
          <w:b/>
          <w:bCs/>
          <w:lang w:val="es-ES"/>
        </w:rPr>
      </w:pPr>
      <w:r>
        <w:rPr>
          <w:rFonts w:ascii="Arial" w:hAnsi="Arial"/>
          <w:b/>
          <w:bCs/>
          <w:szCs w:val="24"/>
          <w:lang w:val="es-ES"/>
        </w:rPr>
        <w:t xml:space="preserve">5. </w:t>
      </w:r>
      <w:r w:rsidR="00BB2EC2" w:rsidRPr="00BB2EC2">
        <w:rPr>
          <w:rFonts w:ascii="Arial" w:hAnsi="Arial"/>
          <w:b/>
          <w:szCs w:val="24"/>
          <w:lang w:val="es-ES"/>
        </w:rPr>
        <w:t>REVOCACIÓN DE LA LICENCIA DE ARMAS POR CAZA EN ÉPOCA DE VEDA</w:t>
      </w:r>
    </w:p>
    <w:p w14:paraId="61712F9B" w14:textId="4AF6F717" w:rsidR="00E05C0E" w:rsidRPr="00E05C0E" w:rsidRDefault="00E05C0E" w:rsidP="00E05C0E">
      <w:pPr>
        <w:widowControl w:val="0"/>
        <w:suppressAutoHyphens/>
        <w:spacing w:after="120"/>
        <w:rPr>
          <w:rFonts w:ascii="Arial" w:hAnsi="Arial"/>
          <w:szCs w:val="24"/>
          <w:lang w:val="es-ES"/>
        </w:rPr>
      </w:pPr>
      <w:r w:rsidRPr="00E05C0E">
        <w:rPr>
          <w:rFonts w:ascii="Arial" w:hAnsi="Arial"/>
          <w:szCs w:val="24"/>
          <w:lang w:val="es-ES"/>
        </w:rPr>
        <w:t>&lt;</w:t>
      </w:r>
      <w:hyperlink r:id="rId12" w:history="1">
        <w:r w:rsidRPr="00E05C0E">
          <w:rPr>
            <w:rStyle w:val="Hipervnculo"/>
            <w:rFonts w:ascii="Arial" w:hAnsi="Arial" w:cs="Arial"/>
            <w:szCs w:val="24"/>
            <w:lang w:val="es-ES"/>
          </w:rPr>
          <w:t xml:space="preserve">STSJA de 6 de junio de 2022, </w:t>
        </w:r>
        <w:proofErr w:type="spellStart"/>
        <w:r w:rsidRPr="00E05C0E">
          <w:rPr>
            <w:rStyle w:val="Hipervnculo"/>
            <w:rFonts w:ascii="Arial" w:hAnsi="Arial" w:cs="Arial"/>
            <w:szCs w:val="24"/>
            <w:lang w:val="es-ES"/>
          </w:rPr>
          <w:t>rec.</w:t>
        </w:r>
        <w:proofErr w:type="spellEnd"/>
        <w:r w:rsidRPr="00E05C0E">
          <w:rPr>
            <w:rStyle w:val="Hipervnculo"/>
            <w:rFonts w:ascii="Arial" w:hAnsi="Arial" w:cs="Arial"/>
            <w:szCs w:val="24"/>
            <w:lang w:val="es-ES"/>
          </w:rPr>
          <w:t xml:space="preserve"> 413/2021</w:t>
        </w:r>
      </w:hyperlink>
      <w:r>
        <w:rPr>
          <w:rFonts w:ascii="Arial" w:hAnsi="Arial"/>
          <w:szCs w:val="24"/>
          <w:lang w:val="es-ES"/>
        </w:rPr>
        <w:t>&gt;</w:t>
      </w:r>
    </w:p>
    <w:p w14:paraId="0AD68C3F" w14:textId="7F720E3C" w:rsidR="00BB2EC2" w:rsidRDefault="00E05C0E" w:rsidP="00E05C0E">
      <w:pPr>
        <w:rPr>
          <w:rFonts w:ascii="Arial" w:hAnsi="Arial"/>
          <w:szCs w:val="24"/>
          <w:lang w:val="es-ES"/>
        </w:rPr>
      </w:pPr>
      <w:r w:rsidRPr="00E05C0E">
        <w:rPr>
          <w:rFonts w:ascii="Arial" w:hAnsi="Arial"/>
          <w:szCs w:val="24"/>
          <w:lang w:val="es-ES"/>
        </w:rPr>
        <w:t xml:space="preserve">Según la STSJA (Sala de lo Contencioso-administrativo, Sección 1ª, Sede de Sevilla) de 6 de junio de 2022, </w:t>
      </w:r>
      <w:proofErr w:type="spellStart"/>
      <w:r w:rsidRPr="00E05C0E">
        <w:rPr>
          <w:rFonts w:ascii="Arial" w:hAnsi="Arial"/>
          <w:szCs w:val="24"/>
          <w:lang w:val="es-ES"/>
        </w:rPr>
        <w:t>rec.</w:t>
      </w:r>
      <w:proofErr w:type="spellEnd"/>
      <w:r w:rsidRPr="00E05C0E">
        <w:rPr>
          <w:rFonts w:ascii="Arial" w:hAnsi="Arial"/>
          <w:szCs w:val="24"/>
          <w:lang w:val="es-ES"/>
        </w:rPr>
        <w:t xml:space="preserve"> 413/2021, la caza en época de veda constituye una infracción muy grave, siendo la ilicitud incluso “notoria para cualquier persona con una </w:t>
      </w:r>
      <w:proofErr w:type="gramStart"/>
      <w:r w:rsidRPr="00E05C0E">
        <w:rPr>
          <w:rFonts w:ascii="Arial" w:hAnsi="Arial"/>
          <w:szCs w:val="24"/>
          <w:lang w:val="es-ES"/>
        </w:rPr>
        <w:t>información media y un conocimiento medio</w:t>
      </w:r>
      <w:proofErr w:type="gramEnd"/>
      <w:r w:rsidRPr="00E05C0E">
        <w:rPr>
          <w:rFonts w:ascii="Arial" w:hAnsi="Arial"/>
          <w:szCs w:val="24"/>
          <w:lang w:val="es-ES"/>
        </w:rPr>
        <w:t xml:space="preserve"> de la realidad social en la que vive”. Máxime para un cazador con cincuenta años de experiencia. La Sentencia, hasta aquí, no hace sino acreditar unos hechos contrastados y reconocidos. No sólo por la infracción: al titular de una licencia de armas de caza ha de exigírsele, en principio, un especial respeto a las normas que regulan la actividad cinegética.</w:t>
      </w:r>
    </w:p>
    <w:p w14:paraId="2F033172" w14:textId="77777777" w:rsidR="00DA58D6" w:rsidRPr="00DA58D6" w:rsidRDefault="00DA58D6" w:rsidP="00DA58D6">
      <w:pPr>
        <w:widowControl w:val="0"/>
        <w:suppressAutoHyphens/>
        <w:spacing w:after="120"/>
        <w:rPr>
          <w:rFonts w:ascii="Arial" w:hAnsi="Arial"/>
          <w:szCs w:val="24"/>
          <w:lang w:val="es-ES"/>
        </w:rPr>
      </w:pPr>
      <w:r w:rsidRPr="00DA58D6">
        <w:rPr>
          <w:rFonts w:ascii="Arial" w:hAnsi="Arial"/>
          <w:szCs w:val="24"/>
          <w:lang w:val="es-ES"/>
        </w:rPr>
        <w:t>Pero sí resultan interesantes, en segundo lugar, las apreciaciones realizadas para justificar la medida de la revocación de la misma licencia de caza.</w:t>
      </w:r>
    </w:p>
    <w:p w14:paraId="288CA301" w14:textId="77777777" w:rsidR="00DA58D6" w:rsidRPr="00DA58D6" w:rsidRDefault="00DA58D6" w:rsidP="00DA58D6">
      <w:pPr>
        <w:widowControl w:val="0"/>
        <w:suppressAutoHyphens/>
        <w:spacing w:after="120"/>
        <w:rPr>
          <w:rFonts w:ascii="Arial" w:hAnsi="Arial"/>
          <w:szCs w:val="24"/>
          <w:lang w:val="es-ES"/>
        </w:rPr>
      </w:pPr>
      <w:r w:rsidRPr="00DA58D6">
        <w:rPr>
          <w:rFonts w:ascii="Arial" w:hAnsi="Arial"/>
          <w:szCs w:val="24"/>
          <w:lang w:val="es-ES"/>
        </w:rPr>
        <w:t xml:space="preserve">La misma constituye, así, una manifestación de la potestad del control que se ha de ejercer por la Administración sobre la tenencia y utilización de las armas, vigilando que quienes sean titulares de permisos y licencias posean y mantengan las aptitudes, conducta y condiciones adecuadas para preservar su correcto uso y conservación. Además, en esta materia de licencia de armas no se está ejercitando ninguna potestad sancionadora, ni se afecta derecho fundamental alguno, por lo que concurre una especie de prevención que no </w:t>
      </w:r>
      <w:r w:rsidRPr="00DA58D6">
        <w:rPr>
          <w:rFonts w:ascii="Arial" w:hAnsi="Arial"/>
          <w:szCs w:val="24"/>
          <w:lang w:val="es-ES"/>
        </w:rPr>
        <w:lastRenderedPageBreak/>
        <w:t>exige necesariamente la existencia de una prueba más allá de toda duda, como sí se requiere en el ámbito del derecho penal o sancionador. La protección de la sociedad, en tanto que portar y usar armas afecta a la seguridad ciudadana, se encuentra por delante de los intereses públicos que rigen en esta materia, de modo que sólo basta la sospecha fundada de que hayan sido cometidas determinadas conductas para poder incoar el correspondiente expediente y ejercer la potestad de revocación de la licencia. Es decir, la existencia de una mera hipótesis de sospecha sólida sobre la realización de conductas incompatibles con la tenencia de armas –como la acreditada caza en tiempo de veda- es suficiente como para proceder a la apertura de dicho expediente de revocación.</w:t>
      </w:r>
    </w:p>
    <w:p w14:paraId="365626DE" w14:textId="77777777" w:rsidR="00DA58D6" w:rsidRPr="00DA58D6" w:rsidRDefault="00DA58D6" w:rsidP="00DA58D6">
      <w:pPr>
        <w:widowControl w:val="0"/>
        <w:suppressAutoHyphens/>
        <w:spacing w:after="120"/>
        <w:rPr>
          <w:rFonts w:ascii="Arial" w:hAnsi="Arial"/>
          <w:szCs w:val="24"/>
          <w:lang w:val="es-ES"/>
        </w:rPr>
      </w:pPr>
      <w:r w:rsidRPr="00DA58D6">
        <w:rPr>
          <w:rFonts w:ascii="Arial" w:hAnsi="Arial"/>
          <w:szCs w:val="24"/>
          <w:lang w:val="es-ES"/>
        </w:rPr>
        <w:t>En definitiva, la normativa de armas no exige, en este punto, para la denegación y revocación de la licencia, la condena penal o administrativa, o la existencia de antecedentes penales, “sino la mera apreciación por la autoridad competente del peligro o riesgo que puede representar la posesión por su titular” (F. J. 3º).</w:t>
      </w:r>
    </w:p>
    <w:p w14:paraId="55990EAE" w14:textId="65D43FF6" w:rsidR="00E05C0E" w:rsidRPr="006522E6" w:rsidRDefault="00DA58D6" w:rsidP="00E05C0E">
      <w:pPr>
        <w:rPr>
          <w:rFonts w:ascii="Arial" w:hAnsi="Arial"/>
          <w:b/>
          <w:bCs/>
          <w:lang w:val="es-ES"/>
        </w:rPr>
      </w:pPr>
      <w:r>
        <w:rPr>
          <w:rFonts w:ascii="Arial" w:hAnsi="Arial"/>
          <w:b/>
          <w:bCs/>
          <w:lang w:val="es-ES"/>
        </w:rPr>
        <w:t xml:space="preserve">6. </w:t>
      </w:r>
      <w:r w:rsidR="006522E6">
        <w:rPr>
          <w:rFonts w:ascii="Arial" w:hAnsi="Arial"/>
          <w:b/>
          <w:bCs/>
          <w:lang w:val="es-ES"/>
        </w:rPr>
        <w:t>S</w:t>
      </w:r>
      <w:r w:rsidR="006522E6" w:rsidRPr="006522E6">
        <w:rPr>
          <w:rFonts w:ascii="Arial" w:hAnsi="Arial"/>
          <w:b/>
          <w:szCs w:val="24"/>
          <w:lang w:val="es-ES"/>
        </w:rPr>
        <w:t>UFICIENCIA DE LA MEMORIA ECONÓMICA EN LA APROBACIÓN O MODIFICACIÓN DE PLANES DE ORDENACIÓN DE LOS RECURSOS NATURALES</w:t>
      </w:r>
    </w:p>
    <w:p w14:paraId="3E2DDEDF" w14:textId="0EC42FE0" w:rsidR="00CE1A5C" w:rsidRPr="00CE1A5C" w:rsidRDefault="00CE1A5C" w:rsidP="00CE1A5C">
      <w:pPr>
        <w:widowControl w:val="0"/>
        <w:suppressAutoHyphens/>
        <w:spacing w:after="120"/>
        <w:rPr>
          <w:rFonts w:ascii="Arial" w:hAnsi="Arial"/>
          <w:szCs w:val="24"/>
          <w:lang w:val="es-ES"/>
        </w:rPr>
      </w:pPr>
      <w:r w:rsidRPr="00CE1A5C">
        <w:rPr>
          <w:rFonts w:ascii="Arial" w:hAnsi="Arial"/>
          <w:szCs w:val="24"/>
          <w:lang w:val="es-ES"/>
        </w:rPr>
        <w:t>&lt;</w:t>
      </w:r>
      <w:hyperlink r:id="rId13" w:history="1">
        <w:r w:rsidRPr="00CE1A5C">
          <w:rPr>
            <w:rStyle w:val="Hipervnculo"/>
            <w:rFonts w:ascii="Arial" w:hAnsi="Arial" w:cs="Arial"/>
            <w:szCs w:val="24"/>
            <w:lang w:val="es-ES"/>
          </w:rPr>
          <w:t xml:space="preserve">STSJA de 23 de junio de 2022, </w:t>
        </w:r>
        <w:proofErr w:type="spellStart"/>
        <w:r w:rsidRPr="00CE1A5C">
          <w:rPr>
            <w:rStyle w:val="Hipervnculo"/>
            <w:rFonts w:ascii="Arial" w:hAnsi="Arial" w:cs="Arial"/>
            <w:szCs w:val="24"/>
            <w:lang w:val="es-ES"/>
          </w:rPr>
          <w:t>rec.</w:t>
        </w:r>
        <w:proofErr w:type="spellEnd"/>
        <w:r w:rsidRPr="00CE1A5C">
          <w:rPr>
            <w:rStyle w:val="Hipervnculo"/>
            <w:rFonts w:ascii="Arial" w:hAnsi="Arial" w:cs="Arial"/>
            <w:szCs w:val="24"/>
            <w:lang w:val="es-ES"/>
          </w:rPr>
          <w:t xml:space="preserve"> 730/2017</w:t>
        </w:r>
      </w:hyperlink>
      <w:r w:rsidRPr="00CE1A5C">
        <w:rPr>
          <w:rFonts w:ascii="Arial" w:hAnsi="Arial"/>
          <w:szCs w:val="24"/>
          <w:lang w:val="es-ES"/>
        </w:rPr>
        <w:t>&gt;</w:t>
      </w:r>
    </w:p>
    <w:p w14:paraId="00CBE4A3" w14:textId="77777777" w:rsidR="00CE1A5C" w:rsidRPr="00CE1A5C" w:rsidRDefault="00CE1A5C" w:rsidP="00CE1A5C">
      <w:pPr>
        <w:widowControl w:val="0"/>
        <w:suppressAutoHyphens/>
        <w:spacing w:after="120"/>
        <w:rPr>
          <w:rFonts w:ascii="Arial" w:hAnsi="Arial"/>
          <w:szCs w:val="24"/>
          <w:lang w:val="es-ES"/>
        </w:rPr>
      </w:pPr>
      <w:r w:rsidRPr="00CE1A5C">
        <w:rPr>
          <w:rFonts w:ascii="Arial" w:hAnsi="Arial"/>
          <w:szCs w:val="24"/>
          <w:lang w:val="es-ES"/>
        </w:rPr>
        <w:t xml:space="preserve">La STSJA (Sala de lo Contencioso-administrativo, Sección 3ª, Sede de Sevilla) de 23 de junio de 2022, </w:t>
      </w:r>
      <w:proofErr w:type="spellStart"/>
      <w:r w:rsidRPr="00CE1A5C">
        <w:rPr>
          <w:rFonts w:ascii="Arial" w:hAnsi="Arial"/>
          <w:szCs w:val="24"/>
          <w:lang w:val="es-ES"/>
        </w:rPr>
        <w:t>rec.</w:t>
      </w:r>
      <w:proofErr w:type="spellEnd"/>
      <w:r w:rsidRPr="00CE1A5C">
        <w:rPr>
          <w:rFonts w:ascii="Arial" w:hAnsi="Arial"/>
          <w:szCs w:val="24"/>
          <w:lang w:val="es-ES"/>
        </w:rPr>
        <w:t xml:space="preserve"> 730/2017, resuelve el recurso interpuesto contra el Decreto 150/2017, de aprobación del Plan de Ordenación de los Recursos Naturales del ámbito Los Alcornocales, de ampliación del ámbito territorial del Parque Natural de Los Alcornocales y de la Zona de Especial Protección para las Aves Los Alcornocales y de aprobación del Plan Rector de Uso y Gestión del Parque Natural Los Alcornocales.</w:t>
      </w:r>
    </w:p>
    <w:p w14:paraId="290EE99A" w14:textId="77777777" w:rsidR="00CE1A5C" w:rsidRPr="00CE1A5C" w:rsidRDefault="00CE1A5C" w:rsidP="00CE1A5C">
      <w:pPr>
        <w:widowControl w:val="0"/>
        <w:suppressAutoHyphens/>
        <w:spacing w:after="120"/>
        <w:rPr>
          <w:rFonts w:ascii="Arial" w:hAnsi="Arial"/>
          <w:szCs w:val="24"/>
          <w:lang w:val="es-ES"/>
        </w:rPr>
      </w:pPr>
      <w:r w:rsidRPr="00CE1A5C">
        <w:rPr>
          <w:rFonts w:ascii="Arial" w:hAnsi="Arial"/>
          <w:szCs w:val="24"/>
          <w:lang w:val="es-ES"/>
        </w:rPr>
        <w:t>Entre otros motivos de impugnación, se centra la sentencia en la suficiencia e idoneidad de la memoria económica presentada para la aprobación de dicho Decreto.</w:t>
      </w:r>
    </w:p>
    <w:p w14:paraId="3C248F1D" w14:textId="77777777" w:rsidR="00CE1A5C" w:rsidRPr="00CE1A5C" w:rsidRDefault="00CE1A5C" w:rsidP="00CE1A5C">
      <w:pPr>
        <w:widowControl w:val="0"/>
        <w:suppressAutoHyphens/>
        <w:spacing w:after="120"/>
        <w:rPr>
          <w:rFonts w:ascii="Arial" w:hAnsi="Arial"/>
          <w:szCs w:val="24"/>
          <w:lang w:val="es-ES"/>
        </w:rPr>
      </w:pPr>
      <w:r w:rsidRPr="00CE1A5C">
        <w:rPr>
          <w:rFonts w:ascii="Arial" w:hAnsi="Arial"/>
          <w:szCs w:val="24"/>
          <w:lang w:val="es-ES"/>
        </w:rPr>
        <w:t xml:space="preserve">Y con remisión a jurisprudencia previa, recuerda el TSJA que para que un Tribunal declare la nulidad o anulabilidad de un reglamento por una infracción </w:t>
      </w:r>
      <w:r w:rsidRPr="00CE1A5C">
        <w:rPr>
          <w:rFonts w:ascii="Arial" w:hAnsi="Arial"/>
          <w:szCs w:val="24"/>
          <w:lang w:val="es-ES"/>
        </w:rPr>
        <w:lastRenderedPageBreak/>
        <w:t>en la memoria económica o en el informe económico-financiero, es necesario que el recurrente detalle, justifique y acredite las carencias concretas de dichos documentos. Pero, por el contrario, la Administración no puede escudarse en informes puramente voluntaristas, sin justificar realmente con ninguna clase de estudios, informes o documentos las afirmaciones contenidas en las mismas. Como dice el TSJA, parece notorio, y por tanto sin necesidad casi de prueba, que la ampliación de un parque natural en una extensión de quinientas hectáreas –solo en la finca de la parte demandante- y de más de cinco mil en otro sector, por fuerza ha de comportar algún incremento de gasto, y el mismo puede ser evaluado realmente con datos ciertos ya en el momento de aprobación de la norma.</w:t>
      </w:r>
    </w:p>
    <w:p w14:paraId="6C2F8D15" w14:textId="77777777" w:rsidR="007D7B71" w:rsidRDefault="00CE1A5C" w:rsidP="00CE1A5C">
      <w:pPr>
        <w:widowControl w:val="0"/>
        <w:suppressAutoHyphens/>
        <w:spacing w:after="120"/>
        <w:rPr>
          <w:rFonts w:ascii="Arial" w:hAnsi="Arial"/>
          <w:szCs w:val="24"/>
          <w:lang w:val="es-ES"/>
        </w:rPr>
      </w:pPr>
      <w:r w:rsidRPr="00CE1A5C">
        <w:rPr>
          <w:rFonts w:ascii="Arial" w:hAnsi="Arial"/>
          <w:szCs w:val="24"/>
          <w:lang w:val="es-ES"/>
        </w:rPr>
        <w:t>Y se concluye: la jurisprudencia viene permitiendo una remisión a futuros momentos para evaluar los costes cuya completa determinación puede resultar imposible en el momento de aprobarse la norma o el plan en cuestión, pero al menos es preciso la elaboración de una estimación aproximada que tenga en cuenta las variables que puedan producirse. Y en el caso planteado, lo que existe es una completa “indeterminación”. Y, por ello, se anula el Decreto impugnado, por la notoria insuficiencia de la memoria económico-financiera:</w:t>
      </w:r>
    </w:p>
    <w:p w14:paraId="02A4899E" w14:textId="3DDC7DDB" w:rsidR="007D7B71" w:rsidRPr="00740B4F" w:rsidRDefault="007D7B71" w:rsidP="007D7B71">
      <w:pPr>
        <w:pStyle w:val="Cita"/>
        <w:rPr>
          <w:rFonts w:ascii="Arial" w:hAnsi="Arial"/>
          <w:lang w:val="es-ES_tradnl"/>
        </w:rPr>
      </w:pPr>
      <w:sdt>
        <w:sdtPr>
          <w:rPr>
            <w:rFonts w:ascii="Arial" w:hAnsi="Arial"/>
            <w:lang w:val="fr-FR"/>
          </w:rPr>
          <w:id w:val="-293134284"/>
          <w:placeholder>
            <w:docPart w:val="60B4C71E0E704099ACE5B1C8808EBE92"/>
          </w:placeholder>
        </w:sdtPr>
        <w:sdtContent>
          <w:r w:rsidRPr="007D7B71">
            <w:rPr>
              <w:rFonts w:ascii="Arial" w:hAnsi="Arial"/>
              <w:lang w:val="fr-FR"/>
            </w:rPr>
            <w:t>“</w:t>
          </w:r>
          <w:r w:rsidR="00FB2765">
            <w:rPr>
              <w:rFonts w:ascii="Arial" w:hAnsi="Arial"/>
              <w:lang w:val="fr-FR"/>
            </w:rPr>
            <w:t>E</w:t>
          </w:r>
          <w:r w:rsidRPr="007D7B71">
            <w:rPr>
              <w:rFonts w:ascii="Arial" w:hAnsi="Arial"/>
              <w:lang w:val="fr-FR"/>
            </w:rPr>
            <w:t xml:space="preserve">l informe en el que se </w:t>
          </w:r>
          <w:proofErr w:type="spellStart"/>
          <w:r w:rsidRPr="007D7B71">
            <w:rPr>
              <w:rFonts w:ascii="Arial" w:hAnsi="Arial"/>
              <w:lang w:val="fr-FR"/>
            </w:rPr>
            <w:t>pretende</w:t>
          </w:r>
          <w:proofErr w:type="spellEnd"/>
          <w:r w:rsidRPr="007D7B71">
            <w:rPr>
              <w:rFonts w:ascii="Arial" w:hAnsi="Arial"/>
              <w:lang w:val="fr-FR"/>
            </w:rPr>
            <w:t xml:space="preserve"> </w:t>
          </w:r>
          <w:proofErr w:type="spellStart"/>
          <w:r w:rsidRPr="007D7B71">
            <w:rPr>
              <w:rFonts w:ascii="Arial" w:hAnsi="Arial"/>
              <w:lang w:val="fr-FR"/>
            </w:rPr>
            <w:t>sustentar</w:t>
          </w:r>
          <w:proofErr w:type="spellEnd"/>
          <w:r w:rsidRPr="007D7B71">
            <w:rPr>
              <w:rFonts w:ascii="Arial" w:hAnsi="Arial"/>
              <w:lang w:val="fr-FR"/>
            </w:rPr>
            <w:t xml:space="preserve"> la </w:t>
          </w:r>
          <w:proofErr w:type="spellStart"/>
          <w:r w:rsidRPr="007D7B71">
            <w:rPr>
              <w:rFonts w:ascii="Arial" w:hAnsi="Arial"/>
              <w:lang w:val="fr-FR"/>
            </w:rPr>
            <w:t>Administración</w:t>
          </w:r>
          <w:proofErr w:type="spellEnd"/>
          <w:r w:rsidRPr="007D7B71">
            <w:rPr>
              <w:rFonts w:ascii="Arial" w:hAnsi="Arial"/>
              <w:lang w:val="fr-FR"/>
            </w:rPr>
            <w:t xml:space="preserve"> </w:t>
          </w:r>
          <w:proofErr w:type="spellStart"/>
          <w:r w:rsidRPr="007D7B71">
            <w:rPr>
              <w:rFonts w:ascii="Arial" w:hAnsi="Arial"/>
              <w:lang w:val="fr-FR"/>
            </w:rPr>
            <w:t>resulta</w:t>
          </w:r>
          <w:proofErr w:type="spellEnd"/>
          <w:r w:rsidRPr="007D7B71">
            <w:rPr>
              <w:rFonts w:ascii="Arial" w:hAnsi="Arial"/>
              <w:lang w:val="fr-FR"/>
            </w:rPr>
            <w:t xml:space="preserve"> </w:t>
          </w:r>
          <w:proofErr w:type="spellStart"/>
          <w:r w:rsidRPr="007D7B71">
            <w:rPr>
              <w:rFonts w:ascii="Arial" w:hAnsi="Arial"/>
              <w:lang w:val="fr-FR"/>
            </w:rPr>
            <w:t>insuficiente</w:t>
          </w:r>
          <w:proofErr w:type="spellEnd"/>
          <w:r w:rsidRPr="007D7B71">
            <w:rPr>
              <w:rFonts w:ascii="Arial" w:hAnsi="Arial"/>
              <w:lang w:val="fr-FR"/>
            </w:rPr>
            <w:t xml:space="preserve">, </w:t>
          </w:r>
          <w:proofErr w:type="spellStart"/>
          <w:r w:rsidRPr="007D7B71">
            <w:rPr>
              <w:rFonts w:ascii="Arial" w:hAnsi="Arial"/>
              <w:lang w:val="fr-FR"/>
            </w:rPr>
            <w:t>por</w:t>
          </w:r>
          <w:proofErr w:type="spellEnd"/>
          <w:r w:rsidRPr="007D7B71">
            <w:rPr>
              <w:rFonts w:ascii="Arial" w:hAnsi="Arial"/>
              <w:lang w:val="fr-FR"/>
            </w:rPr>
            <w:t xml:space="preserve"> su </w:t>
          </w:r>
          <w:proofErr w:type="spellStart"/>
          <w:r w:rsidRPr="007D7B71">
            <w:rPr>
              <w:rFonts w:ascii="Arial" w:hAnsi="Arial"/>
              <w:lang w:val="fr-FR"/>
            </w:rPr>
            <w:t>generalidad</w:t>
          </w:r>
          <w:proofErr w:type="spellEnd"/>
          <w:r w:rsidRPr="007D7B71">
            <w:rPr>
              <w:rFonts w:ascii="Arial" w:hAnsi="Arial"/>
              <w:lang w:val="fr-FR"/>
            </w:rPr>
            <w:t xml:space="preserve">, sin </w:t>
          </w:r>
          <w:proofErr w:type="spellStart"/>
          <w:r w:rsidRPr="007D7B71">
            <w:rPr>
              <w:rFonts w:ascii="Arial" w:hAnsi="Arial"/>
              <w:lang w:val="fr-FR"/>
            </w:rPr>
            <w:t>entrar</w:t>
          </w:r>
          <w:proofErr w:type="spellEnd"/>
          <w:r w:rsidRPr="007D7B71">
            <w:rPr>
              <w:rFonts w:ascii="Arial" w:hAnsi="Arial"/>
              <w:lang w:val="fr-FR"/>
            </w:rPr>
            <w:t xml:space="preserve"> en </w:t>
          </w:r>
          <w:proofErr w:type="spellStart"/>
          <w:r w:rsidRPr="007D7B71">
            <w:rPr>
              <w:rFonts w:ascii="Arial" w:hAnsi="Arial"/>
              <w:lang w:val="fr-FR"/>
            </w:rPr>
            <w:t>detalle</w:t>
          </w:r>
          <w:proofErr w:type="spellEnd"/>
          <w:r w:rsidRPr="007D7B71">
            <w:rPr>
              <w:rFonts w:ascii="Arial" w:hAnsi="Arial"/>
              <w:lang w:val="fr-FR"/>
            </w:rPr>
            <w:t xml:space="preserve">, </w:t>
          </w:r>
          <w:proofErr w:type="spellStart"/>
          <w:r w:rsidRPr="007D7B71">
            <w:rPr>
              <w:rFonts w:ascii="Arial" w:hAnsi="Arial"/>
              <w:lang w:val="fr-FR"/>
            </w:rPr>
            <w:t>por</w:t>
          </w:r>
          <w:proofErr w:type="spellEnd"/>
          <w:r w:rsidRPr="007D7B71">
            <w:rPr>
              <w:rFonts w:ascii="Arial" w:hAnsi="Arial"/>
              <w:lang w:val="fr-FR"/>
            </w:rPr>
            <w:t xml:space="preserve"> su </w:t>
          </w:r>
          <w:proofErr w:type="spellStart"/>
          <w:r w:rsidRPr="007D7B71">
            <w:rPr>
              <w:rFonts w:ascii="Arial" w:hAnsi="Arial"/>
              <w:lang w:val="fr-FR"/>
            </w:rPr>
            <w:t>carácter</w:t>
          </w:r>
          <w:proofErr w:type="spellEnd"/>
          <w:r w:rsidRPr="007D7B71">
            <w:rPr>
              <w:rFonts w:ascii="Arial" w:hAnsi="Arial"/>
              <w:lang w:val="fr-FR"/>
            </w:rPr>
            <w:t xml:space="preserve"> de </w:t>
          </w:r>
          <w:proofErr w:type="spellStart"/>
          <w:r w:rsidRPr="007D7B71">
            <w:rPr>
              <w:rFonts w:ascii="Arial" w:hAnsi="Arial"/>
              <w:lang w:val="fr-FR"/>
            </w:rPr>
            <w:t>previsión</w:t>
          </w:r>
          <w:proofErr w:type="spellEnd"/>
          <w:r w:rsidRPr="007D7B71">
            <w:rPr>
              <w:rFonts w:ascii="Arial" w:hAnsi="Arial"/>
              <w:lang w:val="fr-FR"/>
            </w:rPr>
            <w:t xml:space="preserve"> de </w:t>
          </w:r>
          <w:proofErr w:type="spellStart"/>
          <w:r w:rsidRPr="007D7B71">
            <w:rPr>
              <w:rFonts w:ascii="Arial" w:hAnsi="Arial"/>
              <w:lang w:val="fr-FR"/>
            </w:rPr>
            <w:t>futuro</w:t>
          </w:r>
          <w:proofErr w:type="spellEnd"/>
          <w:r w:rsidRPr="007D7B71">
            <w:rPr>
              <w:rFonts w:ascii="Arial" w:hAnsi="Arial"/>
              <w:lang w:val="fr-FR"/>
            </w:rPr>
            <w:t xml:space="preserve">, </w:t>
          </w:r>
          <w:proofErr w:type="spellStart"/>
          <w:r w:rsidRPr="007D7B71">
            <w:rPr>
              <w:rFonts w:ascii="Arial" w:hAnsi="Arial"/>
              <w:lang w:val="fr-FR"/>
            </w:rPr>
            <w:t>incierta</w:t>
          </w:r>
          <w:proofErr w:type="spellEnd"/>
          <w:r w:rsidRPr="007D7B71">
            <w:rPr>
              <w:rFonts w:ascii="Arial" w:hAnsi="Arial"/>
              <w:lang w:val="fr-FR"/>
            </w:rPr>
            <w:t xml:space="preserve"> </w:t>
          </w:r>
          <w:proofErr w:type="spellStart"/>
          <w:r w:rsidRPr="007D7B71">
            <w:rPr>
              <w:rFonts w:ascii="Arial" w:hAnsi="Arial"/>
              <w:lang w:val="fr-FR"/>
            </w:rPr>
            <w:t>por</w:t>
          </w:r>
          <w:proofErr w:type="spellEnd"/>
          <w:r w:rsidRPr="007D7B71">
            <w:rPr>
              <w:rFonts w:ascii="Arial" w:hAnsi="Arial"/>
              <w:lang w:val="fr-FR"/>
            </w:rPr>
            <w:t xml:space="preserve"> </w:t>
          </w:r>
          <w:proofErr w:type="spellStart"/>
          <w:r w:rsidRPr="007D7B71">
            <w:rPr>
              <w:rFonts w:ascii="Arial" w:hAnsi="Arial"/>
              <w:lang w:val="fr-FR"/>
            </w:rPr>
            <w:t>naturaleza</w:t>
          </w:r>
          <w:proofErr w:type="spellEnd"/>
          <w:r w:rsidRPr="007D7B71">
            <w:rPr>
              <w:rFonts w:ascii="Arial" w:hAnsi="Arial"/>
              <w:lang w:val="fr-FR"/>
            </w:rPr>
            <w:t xml:space="preserve">, y </w:t>
          </w:r>
          <w:proofErr w:type="spellStart"/>
          <w:r w:rsidRPr="007D7B71">
            <w:rPr>
              <w:rFonts w:ascii="Arial" w:hAnsi="Arial"/>
              <w:lang w:val="fr-FR"/>
            </w:rPr>
            <w:t>por</w:t>
          </w:r>
          <w:proofErr w:type="spellEnd"/>
          <w:r w:rsidRPr="007D7B71">
            <w:rPr>
              <w:rFonts w:ascii="Arial" w:hAnsi="Arial"/>
              <w:lang w:val="fr-FR"/>
            </w:rPr>
            <w:t xml:space="preserve"> la </w:t>
          </w:r>
          <w:proofErr w:type="spellStart"/>
          <w:r w:rsidRPr="007D7B71">
            <w:rPr>
              <w:rFonts w:ascii="Arial" w:hAnsi="Arial"/>
              <w:lang w:val="fr-FR"/>
            </w:rPr>
            <w:t>falta</w:t>
          </w:r>
          <w:proofErr w:type="spellEnd"/>
          <w:r w:rsidRPr="007D7B71">
            <w:rPr>
              <w:rFonts w:ascii="Arial" w:hAnsi="Arial"/>
              <w:lang w:val="fr-FR"/>
            </w:rPr>
            <w:t xml:space="preserve"> </w:t>
          </w:r>
          <w:proofErr w:type="spellStart"/>
          <w:r w:rsidRPr="007D7B71">
            <w:rPr>
              <w:rFonts w:ascii="Arial" w:hAnsi="Arial"/>
              <w:lang w:val="fr-FR"/>
            </w:rPr>
            <w:t>absoluta</w:t>
          </w:r>
          <w:proofErr w:type="spellEnd"/>
          <w:r w:rsidRPr="007D7B71">
            <w:rPr>
              <w:rFonts w:ascii="Arial" w:hAnsi="Arial"/>
              <w:lang w:val="fr-FR"/>
            </w:rPr>
            <w:t xml:space="preserve"> de </w:t>
          </w:r>
          <w:proofErr w:type="spellStart"/>
          <w:r w:rsidRPr="007D7B71">
            <w:rPr>
              <w:rFonts w:ascii="Arial" w:hAnsi="Arial"/>
              <w:lang w:val="fr-FR"/>
            </w:rPr>
            <w:t>compromiso</w:t>
          </w:r>
          <w:proofErr w:type="spellEnd"/>
          <w:r w:rsidRPr="007D7B71">
            <w:rPr>
              <w:rFonts w:ascii="Arial" w:hAnsi="Arial"/>
              <w:lang w:val="fr-FR"/>
            </w:rPr>
            <w:t xml:space="preserve"> de gastos que comporta, pues no </w:t>
          </w:r>
          <w:proofErr w:type="spellStart"/>
          <w:r w:rsidRPr="007D7B71">
            <w:rPr>
              <w:rFonts w:ascii="Arial" w:hAnsi="Arial"/>
              <w:lang w:val="fr-FR"/>
            </w:rPr>
            <w:t>hay</w:t>
          </w:r>
          <w:proofErr w:type="spellEnd"/>
          <w:r w:rsidRPr="007D7B71">
            <w:rPr>
              <w:rFonts w:ascii="Arial" w:hAnsi="Arial"/>
              <w:lang w:val="fr-FR"/>
            </w:rPr>
            <w:t xml:space="preserve"> </w:t>
          </w:r>
          <w:proofErr w:type="spellStart"/>
          <w:r w:rsidRPr="007D7B71">
            <w:rPr>
              <w:rFonts w:ascii="Arial" w:hAnsi="Arial"/>
              <w:lang w:val="fr-FR"/>
            </w:rPr>
            <w:t>reserva</w:t>
          </w:r>
          <w:proofErr w:type="spellEnd"/>
          <w:r w:rsidRPr="007D7B71">
            <w:rPr>
              <w:rFonts w:ascii="Arial" w:hAnsi="Arial"/>
              <w:lang w:val="fr-FR"/>
            </w:rPr>
            <w:t xml:space="preserve"> </w:t>
          </w:r>
          <w:proofErr w:type="spellStart"/>
          <w:r w:rsidRPr="007D7B71">
            <w:rPr>
              <w:rFonts w:ascii="Arial" w:hAnsi="Arial"/>
              <w:lang w:val="fr-FR"/>
            </w:rPr>
            <w:t>legal</w:t>
          </w:r>
          <w:proofErr w:type="spellEnd"/>
          <w:r w:rsidRPr="007D7B71">
            <w:rPr>
              <w:rFonts w:ascii="Arial" w:hAnsi="Arial"/>
              <w:lang w:val="fr-FR"/>
            </w:rPr>
            <w:t xml:space="preserve"> </w:t>
          </w:r>
          <w:proofErr w:type="spellStart"/>
          <w:r w:rsidRPr="007D7B71">
            <w:rPr>
              <w:rFonts w:ascii="Arial" w:hAnsi="Arial"/>
              <w:lang w:val="fr-FR"/>
            </w:rPr>
            <w:t>alguna</w:t>
          </w:r>
          <w:proofErr w:type="spellEnd"/>
          <w:r w:rsidRPr="007D7B71">
            <w:rPr>
              <w:rFonts w:ascii="Arial" w:hAnsi="Arial"/>
              <w:lang w:val="fr-FR"/>
            </w:rPr>
            <w:t xml:space="preserve"> que </w:t>
          </w:r>
          <w:proofErr w:type="spellStart"/>
          <w:r w:rsidRPr="007D7B71">
            <w:rPr>
              <w:rFonts w:ascii="Arial" w:hAnsi="Arial"/>
              <w:lang w:val="fr-FR"/>
            </w:rPr>
            <w:t>permita</w:t>
          </w:r>
          <w:proofErr w:type="spellEnd"/>
          <w:r w:rsidRPr="007D7B71">
            <w:rPr>
              <w:rFonts w:ascii="Arial" w:hAnsi="Arial"/>
              <w:lang w:val="fr-FR"/>
            </w:rPr>
            <w:t xml:space="preserve"> </w:t>
          </w:r>
          <w:proofErr w:type="spellStart"/>
          <w:r w:rsidRPr="007D7B71">
            <w:rPr>
              <w:rFonts w:ascii="Arial" w:hAnsi="Arial"/>
              <w:lang w:val="fr-FR"/>
            </w:rPr>
            <w:t>conocer</w:t>
          </w:r>
          <w:proofErr w:type="spellEnd"/>
          <w:r w:rsidRPr="007D7B71">
            <w:rPr>
              <w:rFonts w:ascii="Arial" w:hAnsi="Arial"/>
              <w:lang w:val="fr-FR"/>
            </w:rPr>
            <w:t xml:space="preserve"> si se </w:t>
          </w:r>
          <w:proofErr w:type="spellStart"/>
          <w:r w:rsidRPr="007D7B71">
            <w:rPr>
              <w:rFonts w:ascii="Arial" w:hAnsi="Arial"/>
              <w:lang w:val="fr-FR"/>
            </w:rPr>
            <w:t>destinará</w:t>
          </w:r>
          <w:proofErr w:type="spellEnd"/>
          <w:r w:rsidRPr="007D7B71">
            <w:rPr>
              <w:rFonts w:ascii="Arial" w:hAnsi="Arial"/>
              <w:lang w:val="fr-FR"/>
            </w:rPr>
            <w:t xml:space="preserve"> </w:t>
          </w:r>
          <w:proofErr w:type="spellStart"/>
          <w:r w:rsidRPr="007D7B71">
            <w:rPr>
              <w:rFonts w:ascii="Arial" w:hAnsi="Arial"/>
              <w:lang w:val="fr-FR"/>
            </w:rPr>
            <w:t>alguna</w:t>
          </w:r>
          <w:proofErr w:type="spellEnd"/>
          <w:r w:rsidRPr="007D7B71">
            <w:rPr>
              <w:rFonts w:ascii="Arial" w:hAnsi="Arial"/>
              <w:lang w:val="fr-FR"/>
            </w:rPr>
            <w:t xml:space="preserve"> </w:t>
          </w:r>
          <w:proofErr w:type="spellStart"/>
          <w:r w:rsidRPr="007D7B71">
            <w:rPr>
              <w:rFonts w:ascii="Arial" w:hAnsi="Arial"/>
              <w:lang w:val="fr-FR"/>
            </w:rPr>
            <w:t>cantidad</w:t>
          </w:r>
          <w:proofErr w:type="spellEnd"/>
          <w:r w:rsidRPr="007D7B71">
            <w:rPr>
              <w:rFonts w:ascii="Arial" w:hAnsi="Arial"/>
              <w:lang w:val="fr-FR"/>
            </w:rPr>
            <w:t xml:space="preserve"> a este fin en </w:t>
          </w:r>
          <w:proofErr w:type="spellStart"/>
          <w:r w:rsidRPr="007D7B71">
            <w:rPr>
              <w:rFonts w:ascii="Arial" w:hAnsi="Arial"/>
              <w:lang w:val="fr-FR"/>
            </w:rPr>
            <w:t>sucesivos</w:t>
          </w:r>
          <w:proofErr w:type="spellEnd"/>
          <w:r w:rsidRPr="007D7B71">
            <w:rPr>
              <w:rFonts w:ascii="Arial" w:hAnsi="Arial"/>
              <w:lang w:val="fr-FR"/>
            </w:rPr>
            <w:t xml:space="preserve"> </w:t>
          </w:r>
          <w:proofErr w:type="spellStart"/>
          <w:r w:rsidRPr="007D7B71">
            <w:rPr>
              <w:rFonts w:ascii="Arial" w:hAnsi="Arial"/>
              <w:lang w:val="fr-FR"/>
            </w:rPr>
            <w:t>ejercicios</w:t>
          </w:r>
          <w:proofErr w:type="spellEnd"/>
          <w:r w:rsidRPr="007D7B71">
            <w:rPr>
              <w:rFonts w:ascii="Arial" w:hAnsi="Arial"/>
              <w:lang w:val="fr-FR"/>
            </w:rPr>
            <w:t xml:space="preserve"> </w:t>
          </w:r>
          <w:proofErr w:type="spellStart"/>
          <w:r w:rsidRPr="007D7B71">
            <w:rPr>
              <w:rFonts w:ascii="Arial" w:hAnsi="Arial"/>
              <w:lang w:val="fr-FR"/>
            </w:rPr>
            <w:t>económicos</w:t>
          </w:r>
          <w:proofErr w:type="spellEnd"/>
          <w:r w:rsidRPr="007D7B71">
            <w:rPr>
              <w:rFonts w:ascii="Arial" w:hAnsi="Arial"/>
              <w:lang w:val="fr-FR"/>
            </w:rPr>
            <w:t>”</w:t>
          </w:r>
        </w:sdtContent>
      </w:sdt>
      <w:r>
        <w:rPr>
          <w:rFonts w:ascii="Arial" w:hAnsi="Arial"/>
          <w:lang w:val="es-ES_tradnl"/>
        </w:rPr>
        <w:t>.</w:t>
      </w:r>
    </w:p>
    <w:p w14:paraId="57C73F06" w14:textId="6D5BB179" w:rsidR="007D7B71" w:rsidRDefault="00CE1A5C" w:rsidP="00CE1A5C">
      <w:pPr>
        <w:widowControl w:val="0"/>
        <w:suppressAutoHyphens/>
        <w:spacing w:after="120"/>
        <w:rPr>
          <w:rFonts w:ascii="Arial" w:hAnsi="Arial"/>
          <w:szCs w:val="24"/>
          <w:lang w:val="es-ES"/>
        </w:rPr>
      </w:pPr>
      <w:r w:rsidRPr="00CE1A5C">
        <w:rPr>
          <w:rFonts w:ascii="Arial" w:hAnsi="Arial"/>
          <w:szCs w:val="24"/>
          <w:lang w:val="es-ES"/>
        </w:rPr>
        <w:t xml:space="preserve">Se recuerda, finalmente, al respecto, la STS de 17 de febrero de 2017, que gráficamente señala: </w:t>
      </w:r>
    </w:p>
    <w:p w14:paraId="71B44E57" w14:textId="0F195729" w:rsidR="007D7B71" w:rsidRPr="007D7B71" w:rsidRDefault="007D7B71" w:rsidP="007D7B71">
      <w:pPr>
        <w:pStyle w:val="Cita"/>
        <w:rPr>
          <w:rFonts w:ascii="Arial" w:hAnsi="Arial"/>
          <w:lang w:val="es-ES_tradnl"/>
        </w:rPr>
      </w:pPr>
      <w:sdt>
        <w:sdtPr>
          <w:rPr>
            <w:rFonts w:ascii="Arial" w:hAnsi="Arial"/>
            <w:lang w:val="fr-FR"/>
          </w:rPr>
          <w:id w:val="1516029282"/>
          <w:placeholder>
            <w:docPart w:val="F6B6EA1B69824716B0B88FA7F991C5FC"/>
          </w:placeholder>
        </w:sdtPr>
        <w:sdtContent>
          <w:r w:rsidR="008F0D9C" w:rsidRPr="008F0D9C">
            <w:rPr>
              <w:rFonts w:ascii="Arial" w:hAnsi="Arial"/>
              <w:lang w:val="fr-FR"/>
            </w:rPr>
            <w:t xml:space="preserve">“No es </w:t>
          </w:r>
          <w:proofErr w:type="spellStart"/>
          <w:r w:rsidR="008F0D9C" w:rsidRPr="008F0D9C">
            <w:rPr>
              <w:rFonts w:ascii="Arial" w:hAnsi="Arial"/>
              <w:lang w:val="fr-FR"/>
            </w:rPr>
            <w:t>admisible</w:t>
          </w:r>
          <w:proofErr w:type="spellEnd"/>
          <w:r w:rsidR="008F0D9C" w:rsidRPr="008F0D9C">
            <w:rPr>
              <w:rFonts w:ascii="Arial" w:hAnsi="Arial"/>
              <w:lang w:val="fr-FR"/>
            </w:rPr>
            <w:t xml:space="preserve"> que los planes </w:t>
          </w:r>
          <w:proofErr w:type="spellStart"/>
          <w:r w:rsidR="008F0D9C" w:rsidRPr="008F0D9C">
            <w:rPr>
              <w:rFonts w:ascii="Arial" w:hAnsi="Arial"/>
              <w:lang w:val="fr-FR"/>
            </w:rPr>
            <w:t>nazcan</w:t>
          </w:r>
          <w:proofErr w:type="spellEnd"/>
          <w:r w:rsidR="008F0D9C" w:rsidRPr="008F0D9C">
            <w:rPr>
              <w:rFonts w:ascii="Arial" w:hAnsi="Arial"/>
              <w:lang w:val="fr-FR"/>
            </w:rPr>
            <w:t xml:space="preserve"> en el </w:t>
          </w:r>
          <w:proofErr w:type="spellStart"/>
          <w:r w:rsidR="008F0D9C" w:rsidRPr="008F0D9C">
            <w:rPr>
              <w:rFonts w:ascii="Arial" w:hAnsi="Arial"/>
              <w:lang w:val="fr-FR"/>
            </w:rPr>
            <w:t>puro</w:t>
          </w:r>
          <w:proofErr w:type="spellEnd"/>
          <w:r w:rsidR="008F0D9C" w:rsidRPr="008F0D9C">
            <w:rPr>
              <w:rFonts w:ascii="Arial" w:hAnsi="Arial"/>
              <w:lang w:val="fr-FR"/>
            </w:rPr>
            <w:t xml:space="preserve"> </w:t>
          </w:r>
          <w:proofErr w:type="spellStart"/>
          <w:r w:rsidR="008F0D9C" w:rsidRPr="008F0D9C">
            <w:rPr>
              <w:rFonts w:ascii="Arial" w:hAnsi="Arial"/>
              <w:lang w:val="fr-FR"/>
            </w:rPr>
            <w:t>vacío</w:t>
          </w:r>
          <w:proofErr w:type="spellEnd"/>
          <w:r w:rsidR="008F0D9C" w:rsidRPr="008F0D9C">
            <w:rPr>
              <w:rFonts w:ascii="Arial" w:hAnsi="Arial"/>
              <w:lang w:val="fr-FR"/>
            </w:rPr>
            <w:t xml:space="preserve">, </w:t>
          </w:r>
          <w:proofErr w:type="spellStart"/>
          <w:r w:rsidR="008F0D9C" w:rsidRPr="008F0D9C">
            <w:rPr>
              <w:rFonts w:ascii="Arial" w:hAnsi="Arial"/>
              <w:lang w:val="fr-FR"/>
            </w:rPr>
            <w:t>desde</w:t>
          </w:r>
          <w:proofErr w:type="spellEnd"/>
          <w:r w:rsidR="008F0D9C" w:rsidRPr="008F0D9C">
            <w:rPr>
              <w:rFonts w:ascii="Arial" w:hAnsi="Arial"/>
              <w:lang w:val="fr-FR"/>
            </w:rPr>
            <w:t xml:space="preserve"> un </w:t>
          </w:r>
          <w:proofErr w:type="spellStart"/>
          <w:r w:rsidR="008F0D9C" w:rsidRPr="008F0D9C">
            <w:rPr>
              <w:rFonts w:ascii="Arial" w:hAnsi="Arial"/>
              <w:lang w:val="fr-FR"/>
            </w:rPr>
            <w:t>punto</w:t>
          </w:r>
          <w:proofErr w:type="spellEnd"/>
          <w:r w:rsidR="008F0D9C" w:rsidRPr="008F0D9C">
            <w:rPr>
              <w:rFonts w:ascii="Arial" w:hAnsi="Arial"/>
              <w:lang w:val="fr-FR"/>
            </w:rPr>
            <w:t xml:space="preserve"> de vista </w:t>
          </w:r>
          <w:proofErr w:type="spellStart"/>
          <w:r w:rsidR="008F0D9C" w:rsidRPr="008F0D9C">
            <w:rPr>
              <w:rFonts w:ascii="Arial" w:hAnsi="Arial"/>
              <w:lang w:val="fr-FR"/>
            </w:rPr>
            <w:t>económico-presupuestario</w:t>
          </w:r>
          <w:proofErr w:type="spellEnd"/>
          <w:r w:rsidR="008F0D9C" w:rsidRPr="008F0D9C">
            <w:rPr>
              <w:rFonts w:ascii="Arial" w:hAnsi="Arial"/>
              <w:lang w:val="fr-FR"/>
            </w:rPr>
            <w:t xml:space="preserve">, pues la </w:t>
          </w:r>
          <w:proofErr w:type="spellStart"/>
          <w:r w:rsidR="008F0D9C" w:rsidRPr="008F0D9C">
            <w:rPr>
              <w:rFonts w:ascii="Arial" w:hAnsi="Arial"/>
              <w:lang w:val="fr-FR"/>
            </w:rPr>
            <w:t>vocación</w:t>
          </w:r>
          <w:proofErr w:type="spellEnd"/>
          <w:r w:rsidR="008F0D9C" w:rsidRPr="008F0D9C">
            <w:rPr>
              <w:rFonts w:ascii="Arial" w:hAnsi="Arial"/>
              <w:lang w:val="fr-FR"/>
            </w:rPr>
            <w:t xml:space="preserve"> de </w:t>
          </w:r>
          <w:proofErr w:type="spellStart"/>
          <w:r w:rsidR="008F0D9C" w:rsidRPr="008F0D9C">
            <w:rPr>
              <w:rFonts w:ascii="Arial" w:hAnsi="Arial"/>
              <w:lang w:val="fr-FR"/>
            </w:rPr>
            <w:t>ejecución</w:t>
          </w:r>
          <w:proofErr w:type="spellEnd"/>
          <w:r w:rsidR="008F0D9C" w:rsidRPr="008F0D9C">
            <w:rPr>
              <w:rFonts w:ascii="Arial" w:hAnsi="Arial"/>
              <w:lang w:val="fr-FR"/>
            </w:rPr>
            <w:t xml:space="preserve"> y de real </w:t>
          </w:r>
          <w:proofErr w:type="spellStart"/>
          <w:r w:rsidR="008F0D9C" w:rsidRPr="008F0D9C">
            <w:rPr>
              <w:rFonts w:ascii="Arial" w:hAnsi="Arial"/>
              <w:lang w:val="fr-FR"/>
            </w:rPr>
            <w:t>materialización</w:t>
          </w:r>
          <w:proofErr w:type="spellEnd"/>
          <w:r w:rsidR="008F0D9C" w:rsidRPr="008F0D9C">
            <w:rPr>
              <w:rFonts w:ascii="Arial" w:hAnsi="Arial"/>
              <w:lang w:val="fr-FR"/>
            </w:rPr>
            <w:t xml:space="preserve"> que </w:t>
          </w:r>
          <w:proofErr w:type="spellStart"/>
          <w:r w:rsidR="008F0D9C" w:rsidRPr="008F0D9C">
            <w:rPr>
              <w:rFonts w:ascii="Arial" w:hAnsi="Arial"/>
              <w:lang w:val="fr-FR"/>
            </w:rPr>
            <w:t>éstos</w:t>
          </w:r>
          <w:proofErr w:type="spellEnd"/>
          <w:r w:rsidR="008F0D9C" w:rsidRPr="008F0D9C">
            <w:rPr>
              <w:rFonts w:ascii="Arial" w:hAnsi="Arial"/>
              <w:lang w:val="fr-FR"/>
            </w:rPr>
            <w:t xml:space="preserve"> </w:t>
          </w:r>
          <w:proofErr w:type="spellStart"/>
          <w:r w:rsidR="008F0D9C" w:rsidRPr="008F0D9C">
            <w:rPr>
              <w:rFonts w:ascii="Arial" w:hAnsi="Arial"/>
              <w:lang w:val="fr-FR"/>
            </w:rPr>
            <w:t>tienen</w:t>
          </w:r>
          <w:proofErr w:type="spellEnd"/>
          <w:r w:rsidR="008F0D9C" w:rsidRPr="008F0D9C">
            <w:rPr>
              <w:rFonts w:ascii="Arial" w:hAnsi="Arial"/>
              <w:lang w:val="fr-FR"/>
            </w:rPr>
            <w:t xml:space="preserve"> </w:t>
          </w:r>
          <w:proofErr w:type="spellStart"/>
          <w:r w:rsidR="008F0D9C" w:rsidRPr="008F0D9C">
            <w:rPr>
              <w:rFonts w:ascii="Arial" w:hAnsi="Arial"/>
              <w:lang w:val="fr-FR"/>
            </w:rPr>
            <w:t>debe</w:t>
          </w:r>
          <w:proofErr w:type="spellEnd"/>
          <w:r w:rsidR="008F0D9C" w:rsidRPr="008F0D9C">
            <w:rPr>
              <w:rFonts w:ascii="Arial" w:hAnsi="Arial"/>
              <w:lang w:val="fr-FR"/>
            </w:rPr>
            <w:t xml:space="preserve"> venir </w:t>
          </w:r>
          <w:proofErr w:type="spellStart"/>
          <w:r w:rsidR="008F0D9C" w:rsidRPr="008F0D9C">
            <w:rPr>
              <w:rFonts w:ascii="Arial" w:hAnsi="Arial"/>
              <w:lang w:val="fr-FR"/>
            </w:rPr>
            <w:t>apoyada</w:t>
          </w:r>
          <w:proofErr w:type="spellEnd"/>
          <w:r w:rsidR="008F0D9C" w:rsidRPr="008F0D9C">
            <w:rPr>
              <w:rFonts w:ascii="Arial" w:hAnsi="Arial"/>
              <w:lang w:val="fr-FR"/>
            </w:rPr>
            <w:t xml:space="preserve"> en </w:t>
          </w:r>
          <w:proofErr w:type="spellStart"/>
          <w:r w:rsidR="008F0D9C" w:rsidRPr="008F0D9C">
            <w:rPr>
              <w:rFonts w:ascii="Arial" w:hAnsi="Arial"/>
              <w:lang w:val="fr-FR"/>
            </w:rPr>
            <w:t>previsiones</w:t>
          </w:r>
          <w:proofErr w:type="spellEnd"/>
          <w:r w:rsidR="008F0D9C" w:rsidRPr="008F0D9C">
            <w:rPr>
              <w:rFonts w:ascii="Arial" w:hAnsi="Arial"/>
              <w:lang w:val="fr-FR"/>
            </w:rPr>
            <w:t xml:space="preserve"> </w:t>
          </w:r>
          <w:proofErr w:type="spellStart"/>
          <w:r w:rsidR="008F0D9C" w:rsidRPr="008F0D9C">
            <w:rPr>
              <w:rFonts w:ascii="Arial" w:hAnsi="Arial"/>
              <w:lang w:val="fr-FR"/>
            </w:rPr>
            <w:t>generales</w:t>
          </w:r>
          <w:proofErr w:type="spellEnd"/>
          <w:r w:rsidR="008F0D9C" w:rsidRPr="008F0D9C">
            <w:rPr>
              <w:rFonts w:ascii="Arial" w:hAnsi="Arial"/>
              <w:lang w:val="fr-FR"/>
            </w:rPr>
            <w:t xml:space="preserve"> y en la </w:t>
          </w:r>
          <w:proofErr w:type="spellStart"/>
          <w:r w:rsidR="008F0D9C" w:rsidRPr="008F0D9C">
            <w:rPr>
              <w:rFonts w:ascii="Arial" w:hAnsi="Arial"/>
              <w:lang w:val="fr-FR"/>
            </w:rPr>
            <w:t>constatación</w:t>
          </w:r>
          <w:proofErr w:type="spellEnd"/>
          <w:r w:rsidR="008F0D9C" w:rsidRPr="008F0D9C">
            <w:rPr>
              <w:rFonts w:ascii="Arial" w:hAnsi="Arial"/>
              <w:lang w:val="fr-FR"/>
            </w:rPr>
            <w:t xml:space="preserve"> de que </w:t>
          </w:r>
          <w:proofErr w:type="spellStart"/>
          <w:r w:rsidR="008F0D9C" w:rsidRPr="008F0D9C">
            <w:rPr>
              <w:rFonts w:ascii="Arial" w:hAnsi="Arial"/>
              <w:lang w:val="fr-FR"/>
            </w:rPr>
            <w:t>existen</w:t>
          </w:r>
          <w:proofErr w:type="spellEnd"/>
          <w:r w:rsidR="008F0D9C" w:rsidRPr="008F0D9C">
            <w:rPr>
              <w:rFonts w:ascii="Arial" w:hAnsi="Arial"/>
              <w:lang w:val="fr-FR"/>
            </w:rPr>
            <w:t xml:space="preserve"> </w:t>
          </w:r>
          <w:proofErr w:type="spellStart"/>
          <w:r w:rsidR="008F0D9C" w:rsidRPr="008F0D9C">
            <w:rPr>
              <w:rFonts w:ascii="Arial" w:hAnsi="Arial"/>
              <w:lang w:val="fr-FR"/>
            </w:rPr>
            <w:t>fuentes</w:t>
          </w:r>
          <w:proofErr w:type="spellEnd"/>
          <w:r w:rsidR="008F0D9C" w:rsidRPr="008F0D9C">
            <w:rPr>
              <w:rFonts w:ascii="Arial" w:hAnsi="Arial"/>
              <w:lang w:val="fr-FR"/>
            </w:rPr>
            <w:t xml:space="preserve"> de </w:t>
          </w:r>
          <w:proofErr w:type="spellStart"/>
          <w:r w:rsidR="008F0D9C" w:rsidRPr="008F0D9C">
            <w:rPr>
              <w:rFonts w:ascii="Arial" w:hAnsi="Arial"/>
              <w:lang w:val="fr-FR"/>
            </w:rPr>
            <w:t>financiación</w:t>
          </w:r>
          <w:proofErr w:type="spellEnd"/>
          <w:r w:rsidR="008F0D9C" w:rsidRPr="008F0D9C">
            <w:rPr>
              <w:rFonts w:ascii="Arial" w:hAnsi="Arial"/>
              <w:lang w:val="fr-FR"/>
            </w:rPr>
            <w:t xml:space="preserve"> con </w:t>
          </w:r>
          <w:proofErr w:type="gramStart"/>
          <w:r w:rsidR="008F0D9C" w:rsidRPr="008F0D9C">
            <w:rPr>
              <w:rFonts w:ascii="Arial" w:hAnsi="Arial"/>
              <w:lang w:val="fr-FR"/>
            </w:rPr>
            <w:t>que</w:t>
          </w:r>
          <w:proofErr w:type="gramEnd"/>
          <w:r w:rsidR="008F0D9C" w:rsidRPr="008F0D9C">
            <w:rPr>
              <w:rFonts w:ascii="Arial" w:hAnsi="Arial"/>
              <w:lang w:val="fr-FR"/>
            </w:rPr>
            <w:t xml:space="preserve"> </w:t>
          </w:r>
          <w:proofErr w:type="spellStart"/>
          <w:r w:rsidR="008F0D9C" w:rsidRPr="008F0D9C">
            <w:rPr>
              <w:rFonts w:ascii="Arial" w:hAnsi="Arial"/>
              <w:lang w:val="fr-FR"/>
            </w:rPr>
            <w:t>poderse</w:t>
          </w:r>
          <w:proofErr w:type="spellEnd"/>
          <w:r w:rsidR="008F0D9C" w:rsidRPr="008F0D9C">
            <w:rPr>
              <w:rFonts w:ascii="Arial" w:hAnsi="Arial"/>
              <w:lang w:val="fr-FR"/>
            </w:rPr>
            <w:t xml:space="preserve"> </w:t>
          </w:r>
          <w:proofErr w:type="spellStart"/>
          <w:r w:rsidR="008F0D9C" w:rsidRPr="008F0D9C">
            <w:rPr>
              <w:rFonts w:ascii="Arial" w:hAnsi="Arial"/>
              <w:lang w:val="fr-FR"/>
            </w:rPr>
            <w:t>llevar</w:t>
          </w:r>
          <w:proofErr w:type="spellEnd"/>
          <w:r w:rsidR="008F0D9C" w:rsidRPr="008F0D9C">
            <w:rPr>
              <w:rFonts w:ascii="Arial" w:hAnsi="Arial"/>
              <w:lang w:val="fr-FR"/>
            </w:rPr>
            <w:t xml:space="preserve"> a </w:t>
          </w:r>
          <w:proofErr w:type="spellStart"/>
          <w:r w:rsidR="008F0D9C" w:rsidRPr="008F0D9C">
            <w:rPr>
              <w:rFonts w:ascii="Arial" w:hAnsi="Arial"/>
              <w:lang w:val="fr-FR"/>
            </w:rPr>
            <w:t>efecto</w:t>
          </w:r>
          <w:proofErr w:type="spellEnd"/>
          <w:r w:rsidR="008F0D9C" w:rsidRPr="008F0D9C">
            <w:rPr>
              <w:rFonts w:ascii="Arial" w:hAnsi="Arial"/>
              <w:lang w:val="fr-FR"/>
            </w:rPr>
            <w:t>”.</w:t>
          </w:r>
        </w:sdtContent>
      </w:sdt>
    </w:p>
    <w:p w14:paraId="08988556" w14:textId="3F64B89F" w:rsidR="006522E6" w:rsidRPr="00006C66" w:rsidRDefault="00006C66" w:rsidP="00CB043D">
      <w:pPr>
        <w:rPr>
          <w:rFonts w:ascii="Arial" w:hAnsi="Arial"/>
          <w:b/>
          <w:bCs/>
          <w:lang w:val="es-ES"/>
        </w:rPr>
      </w:pPr>
      <w:r>
        <w:rPr>
          <w:rFonts w:ascii="Arial" w:hAnsi="Arial"/>
          <w:b/>
          <w:bCs/>
          <w:lang w:val="es-ES"/>
        </w:rPr>
        <w:t xml:space="preserve">7. </w:t>
      </w:r>
      <w:r w:rsidR="00D43956" w:rsidRPr="00D43956">
        <w:rPr>
          <w:rFonts w:ascii="Arial" w:hAnsi="Arial"/>
          <w:b/>
          <w:bCs/>
          <w:lang w:val="es-ES"/>
        </w:rPr>
        <w:t>DIFERENCIA ENTRE “CAZAR” Y “ESTAR CAZANDO”</w:t>
      </w:r>
    </w:p>
    <w:p w14:paraId="0C3A8994" w14:textId="0024ECBE" w:rsidR="00731643" w:rsidRPr="00E0065F" w:rsidRDefault="00731643" w:rsidP="00731643">
      <w:pPr>
        <w:widowControl w:val="0"/>
        <w:suppressAutoHyphens/>
        <w:spacing w:after="120"/>
        <w:rPr>
          <w:rFonts w:ascii="Arial" w:hAnsi="Arial"/>
          <w:szCs w:val="24"/>
          <w:lang w:val="es-ES"/>
        </w:rPr>
      </w:pPr>
      <w:r w:rsidRPr="00731643">
        <w:rPr>
          <w:rFonts w:ascii="Arial" w:hAnsi="Arial"/>
          <w:szCs w:val="24"/>
          <w:lang w:val="es-ES"/>
        </w:rPr>
        <w:lastRenderedPageBreak/>
        <w:t>&lt;</w:t>
      </w:r>
      <w:hyperlink r:id="rId14" w:history="1">
        <w:r w:rsidRPr="00731643">
          <w:rPr>
            <w:rStyle w:val="Hipervnculo"/>
            <w:rFonts w:ascii="Arial" w:hAnsi="Arial" w:cs="Arial"/>
            <w:szCs w:val="24"/>
            <w:lang w:val="es-ES"/>
          </w:rPr>
          <w:t xml:space="preserve">STSJA de 29 de junio de 2022, </w:t>
        </w:r>
        <w:proofErr w:type="spellStart"/>
        <w:r w:rsidRPr="00731643">
          <w:rPr>
            <w:rStyle w:val="Hipervnculo"/>
            <w:rFonts w:ascii="Arial" w:hAnsi="Arial" w:cs="Arial"/>
            <w:szCs w:val="24"/>
            <w:lang w:val="es-ES"/>
          </w:rPr>
          <w:t>rec.</w:t>
        </w:r>
        <w:proofErr w:type="spellEnd"/>
        <w:r w:rsidRPr="00731643">
          <w:rPr>
            <w:rStyle w:val="Hipervnculo"/>
            <w:rFonts w:ascii="Arial" w:hAnsi="Arial" w:cs="Arial"/>
            <w:szCs w:val="24"/>
            <w:lang w:val="es-ES"/>
          </w:rPr>
          <w:t xml:space="preserve"> 603/2021</w:t>
        </w:r>
      </w:hyperlink>
      <w:r w:rsidR="00E0065F" w:rsidRPr="00E0065F">
        <w:rPr>
          <w:rFonts w:ascii="Arial" w:hAnsi="Arial"/>
          <w:szCs w:val="24"/>
          <w:lang w:val="es-ES"/>
        </w:rPr>
        <w:t>&gt;</w:t>
      </w:r>
    </w:p>
    <w:p w14:paraId="3CBCBB12" w14:textId="77777777" w:rsidR="00731643" w:rsidRPr="00731643" w:rsidRDefault="00731643" w:rsidP="00731643">
      <w:pPr>
        <w:widowControl w:val="0"/>
        <w:suppressAutoHyphens/>
        <w:spacing w:after="120"/>
        <w:rPr>
          <w:rFonts w:ascii="Arial" w:hAnsi="Arial"/>
          <w:szCs w:val="24"/>
          <w:lang w:val="es-ES"/>
        </w:rPr>
      </w:pPr>
      <w:r w:rsidRPr="00731643">
        <w:rPr>
          <w:rFonts w:ascii="Arial" w:hAnsi="Arial"/>
          <w:szCs w:val="24"/>
          <w:lang w:val="es-ES"/>
        </w:rPr>
        <w:t xml:space="preserve">Según la STSJA (Sala de lo Contencioso-administrativo, Sección 1ª, Sede de Sevilla) de 29 de junio de 2022, </w:t>
      </w:r>
      <w:proofErr w:type="spellStart"/>
      <w:r w:rsidRPr="00731643">
        <w:rPr>
          <w:rFonts w:ascii="Arial" w:hAnsi="Arial"/>
          <w:szCs w:val="24"/>
          <w:lang w:val="es-ES"/>
        </w:rPr>
        <w:t>rec.</w:t>
      </w:r>
      <w:proofErr w:type="spellEnd"/>
      <w:r w:rsidRPr="00731643">
        <w:rPr>
          <w:rFonts w:ascii="Arial" w:hAnsi="Arial"/>
          <w:szCs w:val="24"/>
          <w:lang w:val="es-ES"/>
        </w:rPr>
        <w:t xml:space="preserve"> 603/2021, la revocación de la licencia de armas tipo D y E es una medida ajustada y proporcionada a la gravedad de los constatados.</w:t>
      </w:r>
    </w:p>
    <w:p w14:paraId="2F61863E" w14:textId="77777777" w:rsidR="00731643" w:rsidRPr="00731643" w:rsidRDefault="00731643" w:rsidP="00731643">
      <w:pPr>
        <w:widowControl w:val="0"/>
        <w:suppressAutoHyphens/>
        <w:spacing w:after="120"/>
        <w:rPr>
          <w:rFonts w:ascii="Arial" w:hAnsi="Arial"/>
          <w:szCs w:val="24"/>
          <w:lang w:val="es-ES"/>
        </w:rPr>
      </w:pPr>
      <w:r w:rsidRPr="00731643">
        <w:rPr>
          <w:rFonts w:ascii="Arial" w:hAnsi="Arial"/>
          <w:szCs w:val="24"/>
          <w:lang w:val="es-ES"/>
        </w:rPr>
        <w:t xml:space="preserve">A tenor de </w:t>
      </w:r>
      <w:proofErr w:type="gramStart"/>
      <w:r w:rsidRPr="00731643">
        <w:rPr>
          <w:rFonts w:ascii="Arial" w:hAnsi="Arial"/>
          <w:szCs w:val="24"/>
          <w:lang w:val="es-ES"/>
        </w:rPr>
        <w:t>los mismos</w:t>
      </w:r>
      <w:proofErr w:type="gramEnd"/>
      <w:r w:rsidRPr="00731643">
        <w:rPr>
          <w:rFonts w:ascii="Arial" w:hAnsi="Arial"/>
          <w:szCs w:val="24"/>
          <w:lang w:val="es-ES"/>
        </w:rPr>
        <w:t>, el recurrente fue sorprendido en una Reserva portando un rifle, diez cartuchos metálicos y un visor, manifestando que estaba haciendo senderismo y que portaba el rifle para cazar un macho montés y llevarse el trofeo a casa, todo ello sin autorización alguna, pero que, en ese momento, realmente él no “estaba cazando”.</w:t>
      </w:r>
    </w:p>
    <w:p w14:paraId="4B67D728" w14:textId="77777777" w:rsidR="00731643" w:rsidRPr="00731643" w:rsidRDefault="00731643" w:rsidP="00731643">
      <w:pPr>
        <w:widowControl w:val="0"/>
        <w:suppressAutoHyphens/>
        <w:spacing w:after="120"/>
        <w:rPr>
          <w:rFonts w:ascii="Arial" w:hAnsi="Arial"/>
          <w:szCs w:val="24"/>
          <w:lang w:val="es-ES"/>
        </w:rPr>
      </w:pPr>
      <w:r w:rsidRPr="00731643">
        <w:rPr>
          <w:rFonts w:ascii="Arial" w:hAnsi="Arial"/>
          <w:szCs w:val="24"/>
          <w:lang w:val="es-ES"/>
        </w:rPr>
        <w:t>Según la normativa aplicable, se considera acción de cazar “</w:t>
      </w:r>
      <w:r w:rsidRPr="00731643">
        <w:rPr>
          <w:rFonts w:ascii="Arial" w:hAnsi="Arial"/>
          <w:i/>
          <w:szCs w:val="24"/>
          <w:lang w:val="es-ES"/>
        </w:rPr>
        <w:t>la ejercida por el hombre mediante el uso de artes, armas o medios apropiados para buscar, atraer, perseguir o acosar a los animales definidos como piezas de caza, con el fin de darles muerte, apropiarse de ellos o facilitar su captura por terceros</w:t>
      </w:r>
      <w:r w:rsidRPr="00731643">
        <w:rPr>
          <w:rFonts w:ascii="Arial" w:hAnsi="Arial"/>
          <w:szCs w:val="24"/>
          <w:lang w:val="es-ES"/>
        </w:rPr>
        <w:t>”, alegándose pues, desde una interpretación literal y estricta, la necesidad de acreditar la propia acción o actividad para entender cumplidos los preceptos legales a efectos sancionadores.</w:t>
      </w:r>
    </w:p>
    <w:p w14:paraId="08EA6746" w14:textId="5AACFCFD" w:rsidR="00E0065F" w:rsidRDefault="00731643" w:rsidP="00731643">
      <w:pPr>
        <w:widowControl w:val="0"/>
        <w:suppressAutoHyphens/>
        <w:spacing w:after="120"/>
        <w:rPr>
          <w:rFonts w:ascii="Arial" w:hAnsi="Arial"/>
          <w:szCs w:val="24"/>
          <w:lang w:val="es-ES"/>
        </w:rPr>
      </w:pPr>
      <w:r w:rsidRPr="00731643">
        <w:rPr>
          <w:rFonts w:ascii="Arial" w:hAnsi="Arial"/>
          <w:szCs w:val="24"/>
          <w:lang w:val="es-ES"/>
        </w:rPr>
        <w:t xml:space="preserve">El TSJA acepta, así, </w:t>
      </w:r>
      <w:proofErr w:type="gramStart"/>
      <w:r w:rsidRPr="00731643">
        <w:rPr>
          <w:rFonts w:ascii="Arial" w:hAnsi="Arial"/>
          <w:szCs w:val="24"/>
          <w:lang w:val="es-ES"/>
        </w:rPr>
        <w:t>que</w:t>
      </w:r>
      <w:proofErr w:type="gramEnd"/>
      <w:r w:rsidRPr="00731643">
        <w:rPr>
          <w:rFonts w:ascii="Arial" w:hAnsi="Arial"/>
          <w:szCs w:val="24"/>
          <w:lang w:val="es-ES"/>
        </w:rPr>
        <w:t xml:space="preserve"> en el momento de ser sorprendido, el recurrente no estaba “cazando”, pero no la interpretación “restrictiva” derivada. Y es que, con toda lógica, “</w:t>
      </w:r>
      <w:r w:rsidRPr="00731643">
        <w:rPr>
          <w:rFonts w:ascii="Arial" w:hAnsi="Arial"/>
          <w:i/>
          <w:szCs w:val="24"/>
          <w:lang w:val="es-ES"/>
        </w:rPr>
        <w:t>no se explica el porte del arma y demás elementos hallados en un paseo para hacer senderismo si no es con la única intención de cazar</w:t>
      </w:r>
      <w:r w:rsidRPr="00731643">
        <w:rPr>
          <w:rFonts w:ascii="Arial" w:hAnsi="Arial"/>
          <w:szCs w:val="24"/>
          <w:lang w:val="es-ES"/>
        </w:rPr>
        <w:t xml:space="preserve">”. Aunque no se estaba “cazando” justo en ese momento, sí que se estaban realizando actos preparatorios con indudable relevancia jurídica, con la intención inequívoca de realizar una actividad de caza. Y sigue señalando el TSJA: </w:t>
      </w:r>
    </w:p>
    <w:p w14:paraId="69B6032E" w14:textId="31FDD560" w:rsidR="00731643" w:rsidRPr="00E0065F" w:rsidRDefault="00E0065F" w:rsidP="00E0065F">
      <w:pPr>
        <w:pStyle w:val="Cita"/>
        <w:rPr>
          <w:rFonts w:ascii="Arial" w:hAnsi="Arial"/>
          <w:lang w:val="es-ES_tradnl"/>
        </w:rPr>
      </w:pPr>
      <w:sdt>
        <w:sdtPr>
          <w:rPr>
            <w:rFonts w:ascii="Arial" w:hAnsi="Arial"/>
            <w:lang w:val="es-ES"/>
          </w:rPr>
          <w:id w:val="-431586149"/>
          <w:placeholder>
            <w:docPart w:val="641F8DE951E74F57928AADABD8457C8A"/>
          </w:placeholder>
        </w:sdtPr>
        <w:sdtEndPr>
          <w:rPr>
            <w:lang w:val="fr-FR"/>
          </w:rPr>
        </w:sdtEndPr>
        <w:sdtContent>
          <w:r w:rsidRPr="00E0065F">
            <w:rPr>
              <w:rFonts w:ascii="Arial" w:hAnsi="Arial"/>
              <w:lang w:val="es-ES"/>
            </w:rPr>
            <w:t>“La acción material, de disparar, si por ello se entendiera que eso es la caza, no sería prácticamente nunca detectable, desvirtuándose el fin de la norma, pues es casi imposible que el cazador sea sorprendido en el mismo momento del disparo. Además, esa interpretación es contraria a las reglas de la lógica, al sentido de la norma y a la finalidad de toda la normativa protectora de la actividad cinegética en general”.</w:t>
          </w:r>
        </w:sdtContent>
      </w:sdt>
    </w:p>
    <w:p w14:paraId="06A4D9E6" w14:textId="77777777" w:rsidR="00731643" w:rsidRPr="00731643" w:rsidRDefault="00731643" w:rsidP="00731643">
      <w:pPr>
        <w:widowControl w:val="0"/>
        <w:suppressAutoHyphens/>
        <w:spacing w:after="120"/>
        <w:rPr>
          <w:rFonts w:ascii="Arial" w:hAnsi="Arial"/>
          <w:szCs w:val="24"/>
          <w:lang w:val="es-ES"/>
        </w:rPr>
      </w:pPr>
      <w:r w:rsidRPr="00731643">
        <w:rPr>
          <w:rFonts w:ascii="Arial" w:hAnsi="Arial"/>
          <w:szCs w:val="24"/>
          <w:lang w:val="es-ES"/>
        </w:rPr>
        <w:t xml:space="preserve">Dado que, por tanto, se estaba llevando a cabo una actividad que comporta un absoluto desprecio a las leyes cinegéticas, con una indudable componente de </w:t>
      </w:r>
      <w:r w:rsidRPr="00731643">
        <w:rPr>
          <w:rFonts w:ascii="Arial" w:hAnsi="Arial"/>
          <w:szCs w:val="24"/>
          <w:lang w:val="es-ES"/>
        </w:rPr>
        <w:lastRenderedPageBreak/>
        <w:t>gravedad e intencionalidad, se considerada adecuada la medida administrativa de revocación de las licencias del recurrente.</w:t>
      </w:r>
    </w:p>
    <w:p w14:paraId="3ACB311D" w14:textId="77777777" w:rsidR="00DD3CC8" w:rsidRPr="00740B4F" w:rsidRDefault="00DD3CC8" w:rsidP="00372E91">
      <w:pPr>
        <w:rPr>
          <w:rFonts w:ascii="Arial" w:hAnsi="Arial"/>
          <w:lang w:val="es-ES_tradnl"/>
        </w:rPr>
      </w:pPr>
    </w:p>
    <w:sectPr w:rsidR="00DD3CC8" w:rsidRPr="00740B4F" w:rsidSect="009D5AF5">
      <w:headerReference w:type="even" r:id="rId15"/>
      <w:headerReference w:type="default" r:id="rId16"/>
      <w:footerReference w:type="even" r:id="rId17"/>
      <w:footerReference w:type="default" r:id="rId18"/>
      <w:headerReference w:type="first" r:id="rId19"/>
      <w:footerReference w:type="first" r:id="rId20"/>
      <w:pgSz w:w="11900" w:h="16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98436" w14:textId="77777777" w:rsidR="00793223" w:rsidRDefault="00793223" w:rsidP="00BE68CB">
      <w:pPr>
        <w:spacing w:after="0" w:line="240" w:lineRule="auto"/>
      </w:pPr>
      <w:r>
        <w:separator/>
      </w:r>
    </w:p>
  </w:endnote>
  <w:endnote w:type="continuationSeparator" w:id="0">
    <w:p w14:paraId="4B4D6D61" w14:textId="77777777" w:rsidR="00793223" w:rsidRDefault="00793223" w:rsidP="00BE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
    <w:altName w:val="~??eg"/>
    <w:panose1 w:val="00000000000000000000"/>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546F" w14:textId="1AB6D1D5" w:rsidR="006127B4" w:rsidRDefault="009D5AF5" w:rsidP="00351202">
    <w:pPr>
      <w:pStyle w:val="Piedepgina"/>
    </w:pPr>
    <w:r>
      <w:rPr>
        <w:rStyle w:val="Nmerodepgina"/>
      </w:rPr>
      <w:tab/>
    </w:r>
    <w:r w:rsidR="006127B4">
      <w:rPr>
        <w:rStyle w:val="Nmerodepgina"/>
      </w:rPr>
      <w:fldChar w:fldCharType="begin"/>
    </w:r>
    <w:r w:rsidR="006127B4">
      <w:rPr>
        <w:rStyle w:val="Nmerodepgina"/>
      </w:rPr>
      <w:instrText xml:space="preserve"> PAGE </w:instrText>
    </w:r>
    <w:r w:rsidR="006127B4">
      <w:rPr>
        <w:rStyle w:val="Nmerodepgina"/>
      </w:rPr>
      <w:fldChar w:fldCharType="separate"/>
    </w:r>
    <w:r w:rsidR="00740B4F">
      <w:rPr>
        <w:rStyle w:val="Nmerodepgina"/>
      </w:rPr>
      <w:t>2</w:t>
    </w:r>
    <w:r w:rsidR="006127B4">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33CE" w14:textId="50D93EDE" w:rsidR="006127B4" w:rsidRDefault="00274E5F" w:rsidP="00351202">
    <w:pPr>
      <w:pStyle w:val="Piedepgina"/>
    </w:pPr>
    <w:r>
      <w:tab/>
    </w:r>
    <w:r w:rsidR="006127B4">
      <w:rPr>
        <w:rStyle w:val="Nmerodepgina"/>
      </w:rPr>
      <w:fldChar w:fldCharType="begin"/>
    </w:r>
    <w:r w:rsidR="006127B4">
      <w:rPr>
        <w:rStyle w:val="Nmerodepgina"/>
      </w:rPr>
      <w:instrText xml:space="preserve"> PAGE </w:instrText>
    </w:r>
    <w:r w:rsidR="006127B4">
      <w:rPr>
        <w:rStyle w:val="Nmerodepgina"/>
      </w:rPr>
      <w:fldChar w:fldCharType="separate"/>
    </w:r>
    <w:r w:rsidR="00740B4F">
      <w:rPr>
        <w:rStyle w:val="Nmerodepgina"/>
      </w:rPr>
      <w:t>3</w:t>
    </w:r>
    <w:r w:rsidR="006127B4">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772F" w14:textId="16875BBF" w:rsidR="00BF31E0" w:rsidRPr="00CD129E" w:rsidRDefault="00351202" w:rsidP="00351202">
    <w:pPr>
      <w:pStyle w:val="Piedepgina"/>
      <w:rPr>
        <w:lang w:val="pt-BR"/>
      </w:rPr>
    </w:pPr>
    <w:r w:rsidRPr="00CD129E">
      <w:rPr>
        <w:lang w:val="pt-BR"/>
      </w:rPr>
      <w:t>[</w:t>
    </w:r>
    <w:r w:rsidR="00CD129E" w:rsidRPr="00CD129E">
      <w:rPr>
        <w:lang w:val="pt-BR"/>
      </w:rPr>
      <w:t xml:space="preserve">DOI: </w:t>
    </w:r>
    <w:hyperlink r:id="rId1" w:history="1">
      <w:r w:rsidR="00CD129E" w:rsidRPr="00CD129E">
        <w:rPr>
          <w:rStyle w:val="Hipervnculo"/>
          <w:color w:val="auto"/>
          <w:u w:val="none"/>
          <w:lang w:val="pt-BR"/>
        </w:rPr>
        <w:t>http://dx.doi.org/10.17345/rcda.</w:t>
      </w:r>
      <w:r w:rsidR="00EA04FA" w:rsidRPr="00EA04FA">
        <w:rPr>
          <w:lang w:val="pt-PT"/>
        </w:rPr>
        <w:t xml:space="preserve"> </w:t>
      </w:r>
      <w:r w:rsidR="00EA04FA" w:rsidRPr="00EA04FA">
        <w:rPr>
          <w:rStyle w:val="Hipervnculo"/>
          <w:color w:val="auto"/>
          <w:u w:val="none"/>
          <w:lang w:val="pt-BR"/>
        </w:rPr>
        <w:t>3425</w:t>
      </w:r>
    </w:hyperlink>
    <w:r w:rsidR="00AA12F4">
      <w:rPr>
        <w:lang w:val="pt-BR"/>
      </w:rPr>
      <w:t>]</w:t>
    </w:r>
    <w:r w:rsidR="00005762" w:rsidRPr="00CD129E">
      <w:rPr>
        <w:lang w:val="pt-BR"/>
      </w:rPr>
      <w:tab/>
    </w:r>
    <w:r w:rsidR="00BF31E0" w:rsidRPr="00CD129E">
      <w:rPr>
        <w:lang w:val="pt-BR"/>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6FE5F" w14:textId="77777777" w:rsidR="00793223" w:rsidRDefault="00793223" w:rsidP="00BE68CB">
      <w:pPr>
        <w:spacing w:after="0" w:line="240" w:lineRule="auto"/>
      </w:pPr>
      <w:r>
        <w:separator/>
      </w:r>
    </w:p>
  </w:footnote>
  <w:footnote w:type="continuationSeparator" w:id="0">
    <w:p w14:paraId="0CD48679" w14:textId="77777777" w:rsidR="00793223" w:rsidRDefault="00793223" w:rsidP="00BE68CB">
      <w:pPr>
        <w:spacing w:after="0" w:line="240" w:lineRule="auto"/>
      </w:pPr>
      <w:r>
        <w:continuationSeparator/>
      </w:r>
    </w:p>
  </w:footnote>
  <w:footnote w:id="1">
    <w:p w14:paraId="261E9DD0" w14:textId="77777777" w:rsidR="00093D29" w:rsidRPr="00093D29" w:rsidRDefault="00093D29" w:rsidP="00093D29">
      <w:pPr>
        <w:pStyle w:val="Textonotapie"/>
        <w:rPr>
          <w:lang w:val="es-ES"/>
        </w:rPr>
      </w:pPr>
      <w:r w:rsidRPr="00093D29">
        <w:rPr>
          <w:rStyle w:val="Refdenotaalpie"/>
        </w:rPr>
        <w:footnoteRef/>
      </w:r>
      <w:r w:rsidRPr="00093D29">
        <w:t xml:space="preserve"> Para la elaboración de la crónica se han utilizado las bases de datos Aranzadi y </w:t>
      </w:r>
      <w:proofErr w:type="spellStart"/>
      <w:r w:rsidRPr="00093D29">
        <w:t>Cendoj</w:t>
      </w:r>
      <w:proofErr w:type="spellEnd"/>
      <w:r w:rsidRPr="00093D2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F3B8" w14:textId="1DC4FEC0" w:rsidR="006127B4" w:rsidRPr="00A97BD8" w:rsidRDefault="009B4088">
    <w:pPr>
      <w:pStyle w:val="Encabezado"/>
    </w:pPr>
    <w:r w:rsidRPr="009B4088">
      <w:rPr>
        <w:lang w:val="pt-PT"/>
      </w:rPr>
      <w:t>L</w:t>
    </w:r>
    <w:r w:rsidR="006127B4" w:rsidRPr="009B4088">
      <w:rPr>
        <w:lang w:val="pt-PT"/>
      </w:rPr>
      <w:t xml:space="preserve">. </w:t>
    </w:r>
    <w:r w:rsidRPr="009B4088">
      <w:rPr>
        <w:lang w:val="pt-PT"/>
      </w:rPr>
      <w:t>Mellado Ruiz</w:t>
    </w:r>
    <w:r w:rsidR="006127B4" w:rsidRPr="009B4088">
      <w:rPr>
        <w:lang w:val="pt-PT"/>
      </w:rPr>
      <w:tab/>
    </w:r>
    <w:r w:rsidR="006127B4" w:rsidRPr="009B4088">
      <w:rPr>
        <w:lang w:val="pt-PT"/>
      </w:rPr>
      <w:tab/>
    </w:r>
    <w:r w:rsidR="006127B4" w:rsidRPr="009B4088">
      <w:rPr>
        <w:i/>
        <w:lang w:val="pt-PT"/>
      </w:rPr>
      <w:t xml:space="preserve">RCDA </w:t>
    </w:r>
    <w:r w:rsidR="006127B4" w:rsidRPr="009B4088">
      <w:rPr>
        <w:lang w:val="pt-PT"/>
      </w:rPr>
      <w:t xml:space="preserve">Vol. </w:t>
    </w:r>
    <w:r w:rsidR="006F57AE">
      <w:t>XIII</w:t>
    </w:r>
    <w:r w:rsidR="006127B4">
      <w:t xml:space="preserve"> Núm. </w:t>
    </w:r>
    <w:r w:rsidR="006F57AE">
      <w:t>2</w:t>
    </w:r>
    <w:r w:rsidR="006127B4">
      <w:t xml:space="preserve"> (20</w:t>
    </w:r>
    <w:r w:rsidR="006F57AE">
      <w:t>22</w:t>
    </w:r>
    <w:r w:rsidR="006127B4">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F896" w14:textId="199B3928" w:rsidR="006127B4" w:rsidRPr="000128E0" w:rsidRDefault="006127B4">
    <w:pPr>
      <w:pStyle w:val="Encabezado"/>
      <w:rPr>
        <w:lang w:val="pt-BR"/>
      </w:rPr>
    </w:pPr>
    <w:r w:rsidRPr="000128E0">
      <w:rPr>
        <w:i/>
        <w:lang w:val="pt-BR"/>
      </w:rPr>
      <w:t>RCDA</w:t>
    </w:r>
    <w:r w:rsidRPr="000128E0">
      <w:rPr>
        <w:lang w:val="pt-BR"/>
      </w:rPr>
      <w:t xml:space="preserve"> Vol. </w:t>
    </w:r>
    <w:r w:rsidR="006F57AE">
      <w:rPr>
        <w:lang w:val="pt-BR"/>
      </w:rPr>
      <w:t>X</w:t>
    </w:r>
    <w:r w:rsidR="006B3FFD">
      <w:rPr>
        <w:lang w:val="pt-BR"/>
      </w:rPr>
      <w:t>III</w:t>
    </w:r>
    <w:r w:rsidRPr="000128E0">
      <w:rPr>
        <w:lang w:val="pt-BR"/>
      </w:rPr>
      <w:t xml:space="preserve"> Núm. </w:t>
    </w:r>
    <w:r w:rsidR="006B3FFD">
      <w:rPr>
        <w:lang w:val="pt-BR"/>
      </w:rPr>
      <w:t>2</w:t>
    </w:r>
    <w:r w:rsidRPr="000128E0">
      <w:rPr>
        <w:lang w:val="pt-BR"/>
      </w:rPr>
      <w:t xml:space="preserve"> (20</w:t>
    </w:r>
    <w:r w:rsidR="006B3FFD">
      <w:rPr>
        <w:lang w:val="pt-BR"/>
      </w:rPr>
      <w:t>22</w:t>
    </w:r>
    <w:r w:rsidRPr="000128E0">
      <w:rPr>
        <w:lang w:val="pt-BR"/>
      </w:rPr>
      <w:t>)</w:t>
    </w:r>
    <w:r w:rsidRPr="000128E0">
      <w:rPr>
        <w:lang w:val="pt-BR"/>
      </w:rPr>
      <w:tab/>
    </w:r>
    <w:r w:rsidRPr="000128E0">
      <w:rPr>
        <w:lang w:val="pt-BR"/>
      </w:rPr>
      <w:tab/>
    </w:r>
    <w:r w:rsidR="009B4088">
      <w:rPr>
        <w:lang w:val="pt-BR"/>
      </w:rPr>
      <w:t xml:space="preserve">Juris </w:t>
    </w:r>
    <w:proofErr w:type="spellStart"/>
    <w:r w:rsidR="009B4088">
      <w:rPr>
        <w:lang w:val="pt-BR"/>
      </w:rPr>
      <w:t>Ambien</w:t>
    </w:r>
    <w:proofErr w:type="spellEnd"/>
    <w:r w:rsidR="009B4088">
      <w:rPr>
        <w:lang w:val="pt-BR"/>
      </w:rPr>
      <w:t xml:space="preserve"> </w:t>
    </w:r>
    <w:proofErr w:type="spellStart"/>
    <w:r w:rsidR="009B4088">
      <w:rPr>
        <w:lang w:val="pt-BR"/>
      </w:rPr>
      <w:t>Andalucía</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ACE7" w14:textId="62345CAC" w:rsidR="006127B4" w:rsidRDefault="006127B4" w:rsidP="00A97BD8">
    <w:pPr>
      <w:pStyle w:val="Encabezado"/>
      <w:jc w:val="center"/>
    </w:pPr>
    <w:r>
      <w:rPr>
        <w:i/>
      </w:rPr>
      <w:t>REVISTA CATALANA DE DRET AMBIENTAL</w:t>
    </w:r>
    <w:r>
      <w:t xml:space="preserve"> Vol. </w:t>
    </w:r>
    <w:r w:rsidR="005A0B33">
      <w:t>XIII</w:t>
    </w:r>
    <w:r>
      <w:t xml:space="preserve"> Núm. </w:t>
    </w:r>
    <w:r w:rsidR="005A0B33">
      <w:t>2</w:t>
    </w:r>
    <w:r>
      <w:t xml:space="preserve"> (20</w:t>
    </w:r>
    <w:r w:rsidR="005A0B33">
      <w:t>22</w:t>
    </w:r>
    <w:r>
      <w:t xml:space="preserve">): 1 – </w:t>
    </w:r>
    <w:r w:rsidR="00BB28BA">
      <w:t>9</w:t>
    </w:r>
  </w:p>
  <w:p w14:paraId="6E467AB7" w14:textId="21D7873E" w:rsidR="006127B4" w:rsidRPr="00A97BD8" w:rsidRDefault="006127B4" w:rsidP="00A97BD8">
    <w:pPr>
      <w:pStyle w:val="Encabezado"/>
      <w:jc w:val="center"/>
    </w:pPr>
    <w:r>
      <w:t>-</w:t>
    </w:r>
    <w:proofErr w:type="spellStart"/>
    <w:r>
      <w:t>Crònica</w:t>
    </w:r>
    <w:proofErr w:type="spellEnd"/>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D1C"/>
    <w:multiLevelType w:val="hybridMultilevel"/>
    <w:tmpl w:val="E71A763A"/>
    <w:lvl w:ilvl="0" w:tplc="CF1E4038">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3561EE5"/>
    <w:multiLevelType w:val="hybridMultilevel"/>
    <w:tmpl w:val="DD348F8A"/>
    <w:lvl w:ilvl="0" w:tplc="CF1E4038">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fr-FR"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pt-BR"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GB" w:vendorID="64" w:dllVersion="0" w:nlCheck="1" w:checkStyle="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8CB"/>
    <w:rsid w:val="00005762"/>
    <w:rsid w:val="0000616F"/>
    <w:rsid w:val="00006C66"/>
    <w:rsid w:val="000128E0"/>
    <w:rsid w:val="0001389A"/>
    <w:rsid w:val="000211B4"/>
    <w:rsid w:val="000458B7"/>
    <w:rsid w:val="00045BEC"/>
    <w:rsid w:val="00057E4C"/>
    <w:rsid w:val="000620B9"/>
    <w:rsid w:val="00087953"/>
    <w:rsid w:val="00093D29"/>
    <w:rsid w:val="0009571B"/>
    <w:rsid w:val="000D2E05"/>
    <w:rsid w:val="00107A76"/>
    <w:rsid w:val="001421DD"/>
    <w:rsid w:val="001746E8"/>
    <w:rsid w:val="00174DC1"/>
    <w:rsid w:val="00174F50"/>
    <w:rsid w:val="001826D6"/>
    <w:rsid w:val="001829A8"/>
    <w:rsid w:val="00192736"/>
    <w:rsid w:val="001A4A45"/>
    <w:rsid w:val="001B1D26"/>
    <w:rsid w:val="001B6829"/>
    <w:rsid w:val="001D7F04"/>
    <w:rsid w:val="001F1932"/>
    <w:rsid w:val="00204909"/>
    <w:rsid w:val="002339BA"/>
    <w:rsid w:val="002640EB"/>
    <w:rsid w:val="00274E5F"/>
    <w:rsid w:val="0028311E"/>
    <w:rsid w:val="00290105"/>
    <w:rsid w:val="0029097F"/>
    <w:rsid w:val="002A595F"/>
    <w:rsid w:val="002A7252"/>
    <w:rsid w:val="002C5BC0"/>
    <w:rsid w:val="002D55EB"/>
    <w:rsid w:val="002D6792"/>
    <w:rsid w:val="00311E72"/>
    <w:rsid w:val="00321C9B"/>
    <w:rsid w:val="00351202"/>
    <w:rsid w:val="00372E91"/>
    <w:rsid w:val="00375898"/>
    <w:rsid w:val="003774FD"/>
    <w:rsid w:val="003B21C0"/>
    <w:rsid w:val="003C7711"/>
    <w:rsid w:val="003C7912"/>
    <w:rsid w:val="003D4E9C"/>
    <w:rsid w:val="00404419"/>
    <w:rsid w:val="004064AB"/>
    <w:rsid w:val="00434548"/>
    <w:rsid w:val="00442B87"/>
    <w:rsid w:val="00475E9B"/>
    <w:rsid w:val="0049512B"/>
    <w:rsid w:val="004A2A1F"/>
    <w:rsid w:val="005061B9"/>
    <w:rsid w:val="0051069A"/>
    <w:rsid w:val="00514FE2"/>
    <w:rsid w:val="005732AC"/>
    <w:rsid w:val="005872FE"/>
    <w:rsid w:val="00595D3E"/>
    <w:rsid w:val="005A0B33"/>
    <w:rsid w:val="005D1B3C"/>
    <w:rsid w:val="006127B4"/>
    <w:rsid w:val="0063330B"/>
    <w:rsid w:val="00646563"/>
    <w:rsid w:val="0064789B"/>
    <w:rsid w:val="006522E6"/>
    <w:rsid w:val="00663F44"/>
    <w:rsid w:val="00687F3D"/>
    <w:rsid w:val="006A14FA"/>
    <w:rsid w:val="006B3FFD"/>
    <w:rsid w:val="006C3ECE"/>
    <w:rsid w:val="006F57AE"/>
    <w:rsid w:val="007028BF"/>
    <w:rsid w:val="00720A6B"/>
    <w:rsid w:val="00731643"/>
    <w:rsid w:val="00740B4F"/>
    <w:rsid w:val="00745F31"/>
    <w:rsid w:val="00781131"/>
    <w:rsid w:val="00785617"/>
    <w:rsid w:val="00786E15"/>
    <w:rsid w:val="00793223"/>
    <w:rsid w:val="007A447C"/>
    <w:rsid w:val="007B0370"/>
    <w:rsid w:val="007B2FCD"/>
    <w:rsid w:val="007B41A0"/>
    <w:rsid w:val="007C1B89"/>
    <w:rsid w:val="007D7B71"/>
    <w:rsid w:val="007F546E"/>
    <w:rsid w:val="00807224"/>
    <w:rsid w:val="008257D2"/>
    <w:rsid w:val="00840D43"/>
    <w:rsid w:val="00892136"/>
    <w:rsid w:val="008A42FC"/>
    <w:rsid w:val="008B5B37"/>
    <w:rsid w:val="008D444B"/>
    <w:rsid w:val="008D78BC"/>
    <w:rsid w:val="008D7A5C"/>
    <w:rsid w:val="008F0D9C"/>
    <w:rsid w:val="009009F4"/>
    <w:rsid w:val="0091123C"/>
    <w:rsid w:val="00917857"/>
    <w:rsid w:val="00926003"/>
    <w:rsid w:val="00926D4E"/>
    <w:rsid w:val="009453B6"/>
    <w:rsid w:val="0095362E"/>
    <w:rsid w:val="00953DA4"/>
    <w:rsid w:val="009A6C3B"/>
    <w:rsid w:val="009B0871"/>
    <w:rsid w:val="009B4088"/>
    <w:rsid w:val="009B69EC"/>
    <w:rsid w:val="009C619A"/>
    <w:rsid w:val="009D4065"/>
    <w:rsid w:val="009D4E35"/>
    <w:rsid w:val="009D5AF5"/>
    <w:rsid w:val="009F042D"/>
    <w:rsid w:val="009F36C9"/>
    <w:rsid w:val="00A10B3F"/>
    <w:rsid w:val="00A25AC6"/>
    <w:rsid w:val="00A3309C"/>
    <w:rsid w:val="00A50955"/>
    <w:rsid w:val="00A70C5E"/>
    <w:rsid w:val="00A8563E"/>
    <w:rsid w:val="00A97BD8"/>
    <w:rsid w:val="00AA12F4"/>
    <w:rsid w:val="00AA62EF"/>
    <w:rsid w:val="00AA6F54"/>
    <w:rsid w:val="00B01412"/>
    <w:rsid w:val="00B04513"/>
    <w:rsid w:val="00B40D93"/>
    <w:rsid w:val="00B4268C"/>
    <w:rsid w:val="00B472B0"/>
    <w:rsid w:val="00B64CA9"/>
    <w:rsid w:val="00BA2806"/>
    <w:rsid w:val="00BB28BA"/>
    <w:rsid w:val="00BB2EC2"/>
    <w:rsid w:val="00BC1FD4"/>
    <w:rsid w:val="00BD232E"/>
    <w:rsid w:val="00BD4FF3"/>
    <w:rsid w:val="00BE2972"/>
    <w:rsid w:val="00BE68CB"/>
    <w:rsid w:val="00BF31E0"/>
    <w:rsid w:val="00BF37BB"/>
    <w:rsid w:val="00BF52B5"/>
    <w:rsid w:val="00C25669"/>
    <w:rsid w:val="00C2753C"/>
    <w:rsid w:val="00C34CCB"/>
    <w:rsid w:val="00C47218"/>
    <w:rsid w:val="00C51BF3"/>
    <w:rsid w:val="00CB043D"/>
    <w:rsid w:val="00CC2115"/>
    <w:rsid w:val="00CD129E"/>
    <w:rsid w:val="00CE1A5C"/>
    <w:rsid w:val="00CF00B9"/>
    <w:rsid w:val="00D15CF3"/>
    <w:rsid w:val="00D30004"/>
    <w:rsid w:val="00D30429"/>
    <w:rsid w:val="00D43956"/>
    <w:rsid w:val="00D46B04"/>
    <w:rsid w:val="00D54CF1"/>
    <w:rsid w:val="00D83C19"/>
    <w:rsid w:val="00D9544B"/>
    <w:rsid w:val="00DA58D6"/>
    <w:rsid w:val="00DC1B9F"/>
    <w:rsid w:val="00DD3CC8"/>
    <w:rsid w:val="00DF5C97"/>
    <w:rsid w:val="00E0065F"/>
    <w:rsid w:val="00E05C0E"/>
    <w:rsid w:val="00E1419A"/>
    <w:rsid w:val="00E41CB2"/>
    <w:rsid w:val="00E4506D"/>
    <w:rsid w:val="00E66E9A"/>
    <w:rsid w:val="00E87BD6"/>
    <w:rsid w:val="00EA04FA"/>
    <w:rsid w:val="00EA33EB"/>
    <w:rsid w:val="00EB7827"/>
    <w:rsid w:val="00EF5A78"/>
    <w:rsid w:val="00F26ED6"/>
    <w:rsid w:val="00F342E5"/>
    <w:rsid w:val="00F36B5C"/>
    <w:rsid w:val="00F45314"/>
    <w:rsid w:val="00F57D6F"/>
    <w:rsid w:val="00F6520E"/>
    <w:rsid w:val="00FB2765"/>
    <w:rsid w:val="00FC7FB9"/>
    <w:rsid w:val="00FD419D"/>
    <w:rsid w:val="00FF67A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64CCFE"/>
  <w14:defaultImageDpi w14:val="300"/>
  <w15:docId w15:val="{C0EEF1C6-1456-E94D-83B4-73B68E21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43D"/>
    <w:pPr>
      <w:spacing w:after="160" w:line="360" w:lineRule="auto"/>
      <w:jc w:val="both"/>
    </w:pPr>
    <w:rPr>
      <w:rFonts w:ascii="Times New Roman" w:eastAsiaTheme="minorHAnsi" w:hAnsi="Times New Roman"/>
      <w:szCs w:val="22"/>
      <w:lang w:val="en-GB" w:eastAsia="en-US"/>
    </w:rPr>
  </w:style>
  <w:style w:type="paragraph" w:styleId="Ttulo1">
    <w:name w:val="heading 1"/>
    <w:basedOn w:val="Normal"/>
    <w:next w:val="Normal"/>
    <w:link w:val="Ttulo1Car"/>
    <w:autoRedefine/>
    <w:uiPriority w:val="9"/>
    <w:qFormat/>
    <w:rsid w:val="006127B4"/>
    <w:pPr>
      <w:keepNext/>
      <w:keepLines/>
      <w:spacing w:before="360" w:after="120"/>
      <w:outlineLvl w:val="0"/>
    </w:pPr>
    <w:rPr>
      <w:rFonts w:eastAsiaTheme="majorEastAsia" w:cs="Times New Roman"/>
      <w:b/>
      <w:szCs w:val="24"/>
      <w:lang w:val="es-ES_tradnl" w:eastAsia="es-ES"/>
    </w:rPr>
  </w:style>
  <w:style w:type="paragraph" w:styleId="Ttulo2">
    <w:name w:val="heading 2"/>
    <w:basedOn w:val="Normal"/>
    <w:next w:val="Normal"/>
    <w:link w:val="Ttulo2Car"/>
    <w:autoRedefine/>
    <w:uiPriority w:val="99"/>
    <w:qFormat/>
    <w:rsid w:val="00740B4F"/>
    <w:pPr>
      <w:keepNext/>
      <w:keepLines/>
      <w:spacing w:before="240"/>
      <w:outlineLvl w:val="1"/>
    </w:pPr>
    <w:rPr>
      <w:rFonts w:ascii="Arial" w:eastAsia="MS Gothi" w:hAnsi="Arial"/>
      <w:b/>
      <w:iCs/>
      <w:lang w:val="pt-BR" w:eastAsia="ja-JP"/>
    </w:rPr>
  </w:style>
  <w:style w:type="paragraph" w:styleId="Ttulo3">
    <w:name w:val="heading 3"/>
    <w:basedOn w:val="Normal"/>
    <w:next w:val="Normal"/>
    <w:link w:val="Ttulo3Car"/>
    <w:autoRedefine/>
    <w:uiPriority w:val="9"/>
    <w:rsid w:val="008D7A5C"/>
    <w:pPr>
      <w:keepNext/>
      <w:spacing w:before="180"/>
      <w:jc w:val="left"/>
      <w:outlineLvl w:val="2"/>
    </w:pPr>
    <w:rPr>
      <w:rFonts w:eastAsiaTheme="minorEastAsia" w:cs="Arial"/>
      <w:bCs/>
      <w:i/>
      <w:szCs w:val="18"/>
      <w:lang w:val="en-US"/>
    </w:rPr>
  </w:style>
  <w:style w:type="paragraph" w:styleId="Ttulo4">
    <w:name w:val="heading 4"/>
    <w:basedOn w:val="Normal"/>
    <w:next w:val="Normal"/>
    <w:link w:val="Ttulo4Car"/>
    <w:autoRedefine/>
    <w:uiPriority w:val="9"/>
    <w:rsid w:val="009A6C3B"/>
    <w:pPr>
      <w:keepNext/>
      <w:spacing w:before="120"/>
      <w:jc w:val="left"/>
      <w:outlineLvl w:val="3"/>
    </w:pPr>
    <w:rPr>
      <w:rFonts w:eastAsiaTheme="minorEastAsia"/>
      <w:bCs/>
      <w:i/>
      <w:u w:val="single"/>
      <w:lang w:val="es-ES_tradnl"/>
    </w:rPr>
  </w:style>
  <w:style w:type="paragraph" w:styleId="Ttulo5">
    <w:name w:val="heading 5"/>
    <w:basedOn w:val="Normal"/>
    <w:next w:val="Normal"/>
    <w:link w:val="Ttulo5Car"/>
    <w:uiPriority w:val="9"/>
    <w:unhideWhenUsed/>
    <w:rsid w:val="00A10B3F"/>
    <w:pPr>
      <w:keepNext/>
      <w:keepLines/>
      <w:spacing w:before="200"/>
      <w:ind w:left="567"/>
      <w:outlineLvl w:val="4"/>
    </w:pPr>
    <w:rPr>
      <w:rFonts w:eastAsiaTheme="majorEastAsia" w:cstheme="majorBidi"/>
      <w:color w:val="243F60" w:themeColor="accent1" w:themeShade="7F"/>
      <w:spacing w:val="3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 Car Car Car Car Car Car Car,Texto nota pie Car Car Car Car Car Car Car Car Car Car,Texto nota pie Car Car Car Car Car Car Car Car Car Car Car Car Car Car,Texto nota pie Car Car Car Car,Texto nota pie Car Car C"/>
    <w:basedOn w:val="Normal"/>
    <w:link w:val="TextonotapieCar"/>
    <w:autoRedefine/>
    <w:qFormat/>
    <w:rsid w:val="00093D29"/>
    <w:pPr>
      <w:spacing w:after="60" w:line="240" w:lineRule="auto"/>
      <w:ind w:hanging="281"/>
    </w:pPr>
    <w:rPr>
      <w:rFonts w:eastAsiaTheme="minorEastAsia" w:cs="Times New Roman"/>
      <w:sz w:val="20"/>
      <w:szCs w:val="20"/>
      <w:lang w:val="es-ES_tradnl" w:eastAsia="ja-JP"/>
    </w:rPr>
  </w:style>
  <w:style w:type="character" w:customStyle="1" w:styleId="TextonotapieCar">
    <w:name w:val="Texto nota pie Car"/>
    <w:link w:val="Textonotapie"/>
    <w:rsid w:val="00093D29"/>
    <w:rPr>
      <w:rFonts w:ascii="Times New Roman" w:hAnsi="Times New Roman" w:cs="Times New Roman"/>
      <w:sz w:val="20"/>
      <w:szCs w:val="20"/>
    </w:rPr>
  </w:style>
  <w:style w:type="character" w:customStyle="1" w:styleId="Ttulo2Car">
    <w:name w:val="Título 2 Car"/>
    <w:link w:val="Ttulo2"/>
    <w:uiPriority w:val="99"/>
    <w:rsid w:val="00740B4F"/>
    <w:rPr>
      <w:rFonts w:ascii="Arial" w:eastAsia="MS Gothi" w:hAnsi="Arial"/>
      <w:b/>
      <w:iCs/>
      <w:szCs w:val="22"/>
      <w:lang w:val="pt-BR"/>
    </w:rPr>
  </w:style>
  <w:style w:type="paragraph" w:styleId="Ttulo">
    <w:name w:val="Title"/>
    <w:basedOn w:val="Normal"/>
    <w:next w:val="Normal"/>
    <w:link w:val="TtuloCar"/>
    <w:autoRedefine/>
    <w:uiPriority w:val="10"/>
    <w:qFormat/>
    <w:rsid w:val="006127B4"/>
    <w:pPr>
      <w:spacing w:after="300"/>
      <w:jc w:val="center"/>
    </w:pPr>
    <w:rPr>
      <w:rFonts w:eastAsiaTheme="majorEastAsia" w:cstheme="majorBidi"/>
      <w:b/>
      <w:spacing w:val="5"/>
      <w:kern w:val="28"/>
      <w:szCs w:val="52"/>
      <w:lang w:val="es-ES_tradnl"/>
    </w:rPr>
  </w:style>
  <w:style w:type="character" w:customStyle="1" w:styleId="TtuloCar">
    <w:name w:val="Título Car"/>
    <w:basedOn w:val="Fuentedeprrafopredeter"/>
    <w:link w:val="Ttulo"/>
    <w:uiPriority w:val="10"/>
    <w:rsid w:val="006127B4"/>
    <w:rPr>
      <w:rFonts w:ascii="Times New Roman" w:eastAsiaTheme="majorEastAsia" w:hAnsi="Times New Roman" w:cstheme="majorBidi"/>
      <w:b/>
      <w:spacing w:val="5"/>
      <w:kern w:val="28"/>
      <w:szCs w:val="52"/>
      <w:lang w:eastAsia="en-US"/>
    </w:rPr>
  </w:style>
  <w:style w:type="character" w:customStyle="1" w:styleId="Ttulo1Car">
    <w:name w:val="Título 1 Car"/>
    <w:basedOn w:val="Fuentedeprrafopredeter"/>
    <w:link w:val="Ttulo1"/>
    <w:uiPriority w:val="9"/>
    <w:rsid w:val="006127B4"/>
    <w:rPr>
      <w:rFonts w:ascii="Times New Roman" w:eastAsiaTheme="majorEastAsia" w:hAnsi="Times New Roman" w:cs="Times New Roman"/>
      <w:b/>
      <w:lang w:eastAsia="es-ES"/>
    </w:rPr>
  </w:style>
  <w:style w:type="paragraph" w:styleId="Subttulo">
    <w:name w:val="Subtitle"/>
    <w:basedOn w:val="Normal"/>
    <w:next w:val="Normal"/>
    <w:link w:val="SubttuloCar"/>
    <w:autoRedefine/>
    <w:uiPriority w:val="11"/>
    <w:qFormat/>
    <w:rsid w:val="000128E0"/>
    <w:pPr>
      <w:numPr>
        <w:ilvl w:val="1"/>
      </w:numPr>
      <w:spacing w:after="0"/>
      <w:jc w:val="center"/>
    </w:pPr>
    <w:rPr>
      <w:rFonts w:eastAsiaTheme="majorEastAsia" w:cstheme="majorBidi"/>
      <w:iCs/>
      <w:spacing w:val="15"/>
      <w:szCs w:val="24"/>
      <w:lang w:val="es-ES" w:eastAsia="es-ES"/>
    </w:rPr>
  </w:style>
  <w:style w:type="character" w:customStyle="1" w:styleId="SubttuloCar">
    <w:name w:val="Subtítulo Car"/>
    <w:basedOn w:val="Fuentedeprrafopredeter"/>
    <w:link w:val="Subttulo"/>
    <w:uiPriority w:val="11"/>
    <w:rsid w:val="000128E0"/>
    <w:rPr>
      <w:rFonts w:ascii="Times New Roman" w:eastAsiaTheme="majorEastAsia" w:hAnsi="Times New Roman" w:cstheme="majorBidi"/>
      <w:iCs/>
      <w:spacing w:val="15"/>
      <w:lang w:val="es-ES" w:eastAsia="es-ES"/>
    </w:rPr>
  </w:style>
  <w:style w:type="character" w:customStyle="1" w:styleId="Ttulo3Car">
    <w:name w:val="Título 3 Car"/>
    <w:link w:val="Ttulo3"/>
    <w:uiPriority w:val="9"/>
    <w:rsid w:val="008D7A5C"/>
    <w:rPr>
      <w:rFonts w:ascii="Arial Narrow" w:hAnsi="Arial Narrow" w:cs="Arial"/>
      <w:b/>
      <w:bCs/>
      <w:i/>
      <w:szCs w:val="18"/>
      <w:lang w:val="en-US" w:eastAsia="en-US"/>
    </w:rPr>
  </w:style>
  <w:style w:type="paragraph" w:styleId="Descripcin">
    <w:name w:val="caption"/>
    <w:basedOn w:val="Normal"/>
    <w:next w:val="Normal"/>
    <w:uiPriority w:val="35"/>
    <w:unhideWhenUsed/>
    <w:rsid w:val="0064789B"/>
    <w:pPr>
      <w:spacing w:after="200"/>
    </w:pPr>
    <w:rPr>
      <w:b/>
      <w:bCs/>
      <w:sz w:val="18"/>
      <w:szCs w:val="18"/>
    </w:rPr>
  </w:style>
  <w:style w:type="character" w:customStyle="1" w:styleId="Ttulo4Car">
    <w:name w:val="Título 4 Car"/>
    <w:link w:val="Ttulo4"/>
    <w:uiPriority w:val="9"/>
    <w:rsid w:val="009A6C3B"/>
    <w:rPr>
      <w:rFonts w:ascii="Constantia" w:hAnsi="Constantia"/>
      <w:bCs/>
      <w:i/>
      <w:u w:val="single"/>
      <w:lang w:eastAsia="en-US"/>
    </w:rPr>
  </w:style>
  <w:style w:type="paragraph" w:styleId="Cita">
    <w:name w:val="Quote"/>
    <w:aliases w:val="Cita larga"/>
    <w:basedOn w:val="Normal"/>
    <w:next w:val="Normal"/>
    <w:link w:val="CitaCar"/>
    <w:autoRedefine/>
    <w:uiPriority w:val="29"/>
    <w:qFormat/>
    <w:rsid w:val="00F342E5"/>
    <w:pPr>
      <w:spacing w:before="120" w:after="240"/>
      <w:ind w:left="567" w:right="567"/>
      <w:contextualSpacing/>
    </w:pPr>
    <w:rPr>
      <w:rFonts w:eastAsiaTheme="minorEastAsia" w:cs="Times New Roman"/>
      <w:iCs/>
      <w:color w:val="000000" w:themeColor="text1"/>
      <w:sz w:val="22"/>
      <w:szCs w:val="24"/>
      <w:lang w:val="ca-ES" w:eastAsia="ja-JP"/>
    </w:rPr>
  </w:style>
  <w:style w:type="character" w:customStyle="1" w:styleId="CitaCar">
    <w:name w:val="Cita Car"/>
    <w:aliases w:val="Cita larga Car"/>
    <w:basedOn w:val="Fuentedeprrafopredeter"/>
    <w:link w:val="Cita"/>
    <w:uiPriority w:val="29"/>
    <w:rsid w:val="00F342E5"/>
    <w:rPr>
      <w:rFonts w:ascii="Times New Roman" w:hAnsi="Times New Roman" w:cs="Times New Roman"/>
      <w:iCs/>
      <w:color w:val="000000" w:themeColor="text1"/>
      <w:sz w:val="22"/>
      <w:lang w:val="ca-ES"/>
    </w:rPr>
  </w:style>
  <w:style w:type="character" w:customStyle="1" w:styleId="Ttulo5Car">
    <w:name w:val="Título 5 Car"/>
    <w:basedOn w:val="Fuentedeprrafopredeter"/>
    <w:link w:val="Ttulo5"/>
    <w:uiPriority w:val="9"/>
    <w:rsid w:val="00A10B3F"/>
    <w:rPr>
      <w:rFonts w:ascii="Times New Roman" w:eastAsiaTheme="majorEastAsia" w:hAnsi="Times New Roman" w:cstheme="majorBidi"/>
      <w:noProof/>
      <w:color w:val="243F60" w:themeColor="accent1" w:themeShade="7F"/>
      <w:spacing w:val="30"/>
      <w:sz w:val="22"/>
      <w:szCs w:val="22"/>
      <w:lang w:eastAsia="en-US"/>
    </w:rPr>
  </w:style>
  <w:style w:type="character" w:styleId="Nmerodepgina">
    <w:name w:val="page number"/>
    <w:basedOn w:val="Fuentedeprrafopredeter"/>
    <w:rsid w:val="00B01412"/>
    <w:rPr>
      <w:rFonts w:ascii="Times New Roman" w:hAnsi="Times New Roman"/>
      <w:sz w:val="20"/>
    </w:rPr>
  </w:style>
  <w:style w:type="paragraph" w:styleId="Encabezado">
    <w:name w:val="header"/>
    <w:basedOn w:val="Normal"/>
    <w:link w:val="EncabezadoCar"/>
    <w:uiPriority w:val="99"/>
    <w:unhideWhenUsed/>
    <w:qFormat/>
    <w:rsid w:val="00A97BD8"/>
    <w:pPr>
      <w:tabs>
        <w:tab w:val="center" w:pos="4252"/>
        <w:tab w:val="right" w:pos="8504"/>
      </w:tabs>
      <w:spacing w:after="0" w:line="240" w:lineRule="auto"/>
      <w:jc w:val="left"/>
    </w:pPr>
    <w:rPr>
      <w:rFonts w:eastAsiaTheme="minorEastAsia"/>
      <w:sz w:val="20"/>
      <w:lang w:val="es-ES_tradnl"/>
    </w:rPr>
  </w:style>
  <w:style w:type="character" w:customStyle="1" w:styleId="EncabezadoCar">
    <w:name w:val="Encabezado Car"/>
    <w:basedOn w:val="Fuentedeprrafopredeter"/>
    <w:link w:val="Encabezado"/>
    <w:uiPriority w:val="99"/>
    <w:rsid w:val="00A97BD8"/>
    <w:rPr>
      <w:rFonts w:ascii="Times New Roman" w:hAnsi="Times New Roman"/>
      <w:sz w:val="20"/>
      <w:szCs w:val="22"/>
      <w:lang w:eastAsia="en-US"/>
    </w:rPr>
  </w:style>
  <w:style w:type="paragraph" w:styleId="Piedepgina">
    <w:name w:val="footer"/>
    <w:basedOn w:val="Normal"/>
    <w:link w:val="PiedepginaCar"/>
    <w:autoRedefine/>
    <w:uiPriority w:val="99"/>
    <w:qFormat/>
    <w:rsid w:val="00351202"/>
    <w:pPr>
      <w:tabs>
        <w:tab w:val="center" w:pos="4252"/>
        <w:tab w:val="right" w:pos="8504"/>
      </w:tabs>
      <w:spacing w:after="0" w:line="240" w:lineRule="auto"/>
      <w:jc w:val="left"/>
    </w:pPr>
    <w:rPr>
      <w:rFonts w:eastAsia="Times New Roman" w:cs="Times New Roman"/>
      <w:noProof/>
      <w:sz w:val="20"/>
      <w:szCs w:val="24"/>
      <w:lang w:val="es-ES" w:eastAsia="ja-JP"/>
    </w:rPr>
  </w:style>
  <w:style w:type="character" w:customStyle="1" w:styleId="PiedepginaCar">
    <w:name w:val="Pie de página Car"/>
    <w:basedOn w:val="Fuentedeprrafopredeter"/>
    <w:link w:val="Piedepgina"/>
    <w:uiPriority w:val="99"/>
    <w:rsid w:val="00351202"/>
    <w:rPr>
      <w:rFonts w:ascii="Times New Roman" w:eastAsia="Times New Roman" w:hAnsi="Times New Roman" w:cs="Times New Roman"/>
      <w:noProof/>
      <w:sz w:val="20"/>
      <w:lang w:val="es-ES"/>
    </w:rPr>
  </w:style>
  <w:style w:type="paragraph" w:styleId="TDC1">
    <w:name w:val="toc 1"/>
    <w:basedOn w:val="Ttulo1"/>
    <w:next w:val="Normal"/>
    <w:autoRedefine/>
    <w:uiPriority w:val="39"/>
    <w:unhideWhenUsed/>
    <w:rsid w:val="00DC1B9F"/>
    <w:pPr>
      <w:spacing w:before="120" w:after="0"/>
      <w:outlineLvl w:val="9"/>
    </w:pPr>
    <w:rPr>
      <w:rFonts w:eastAsiaTheme="minorHAnsi" w:cstheme="minorBidi"/>
      <w:b w:val="0"/>
    </w:rPr>
  </w:style>
  <w:style w:type="paragraph" w:styleId="TDC2">
    <w:name w:val="toc 2"/>
    <w:basedOn w:val="Ttulo2"/>
    <w:next w:val="Ttulo2"/>
    <w:autoRedefine/>
    <w:uiPriority w:val="39"/>
    <w:unhideWhenUsed/>
    <w:rsid w:val="00475E9B"/>
    <w:pPr>
      <w:keepNext w:val="0"/>
      <w:spacing w:before="0" w:after="0"/>
      <w:ind w:left="240"/>
      <w:outlineLvl w:val="9"/>
    </w:pPr>
    <w:rPr>
      <w:rFonts w:eastAsiaTheme="minorHAnsi"/>
      <w:b w:val="0"/>
      <w:iCs w:val="0"/>
      <w:lang w:val="en-GB" w:eastAsia="en-US"/>
    </w:rPr>
  </w:style>
  <w:style w:type="paragraph" w:styleId="Textodeglobo">
    <w:name w:val="Balloon Text"/>
    <w:basedOn w:val="Normal"/>
    <w:link w:val="TextodegloboCar"/>
    <w:uiPriority w:val="99"/>
    <w:semiHidden/>
    <w:unhideWhenUsed/>
    <w:rsid w:val="002C5BC0"/>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C5BC0"/>
    <w:rPr>
      <w:rFonts w:ascii="Lucida Grande" w:eastAsia="Times New Roman" w:hAnsi="Lucida Grande" w:cs="Lucida Grande"/>
      <w:sz w:val="18"/>
      <w:szCs w:val="18"/>
      <w:lang w:val="es-ES" w:eastAsia="es-ES"/>
    </w:rPr>
  </w:style>
  <w:style w:type="character" w:customStyle="1" w:styleId="NormalCV">
    <w:name w:val="Normal CV"/>
    <w:rsid w:val="009A6C3B"/>
    <w:rPr>
      <w:rFonts w:ascii="Constantia" w:hAnsi="Constantia"/>
      <w:sz w:val="22"/>
    </w:rPr>
  </w:style>
  <w:style w:type="character" w:styleId="Refdenotaalpie">
    <w:name w:val="footnote reference"/>
    <w:aliases w:val="Ref,de nota al pie,Texto de nota al pie,Appel note de bas de page,Footnotes refss,Footnote number,referencia nota al pie,BVI fnr,f1,4_G,16 Point,Superscript 6 Point"/>
    <w:basedOn w:val="Fuentedeprrafopredeter"/>
    <w:qFormat/>
    <w:rsid w:val="008D7A5C"/>
    <w:rPr>
      <w:rFonts w:ascii="Times New Roman" w:hAnsi="Times New Roman" w:cs="Times New Roman"/>
      <w:sz w:val="20"/>
      <w:vertAlign w:val="superscript"/>
    </w:rPr>
  </w:style>
  <w:style w:type="character" w:styleId="Textoennegrita">
    <w:name w:val="Strong"/>
    <w:basedOn w:val="Fuentedeprrafopredeter"/>
    <w:uiPriority w:val="22"/>
    <w:rsid w:val="00087953"/>
    <w:rPr>
      <w:b/>
      <w:bCs/>
    </w:rPr>
  </w:style>
  <w:style w:type="paragraph" w:styleId="Prrafodelista">
    <w:name w:val="List Paragraph"/>
    <w:basedOn w:val="Normal"/>
    <w:uiPriority w:val="34"/>
    <w:rsid w:val="00953DA4"/>
    <w:pPr>
      <w:ind w:left="720"/>
      <w:contextualSpacing/>
    </w:pPr>
  </w:style>
  <w:style w:type="paragraph" w:customStyle="1" w:styleId="Sumario">
    <w:name w:val="Sumario"/>
    <w:basedOn w:val="Normal"/>
    <w:next w:val="Normal"/>
    <w:autoRedefine/>
    <w:qFormat/>
    <w:rsid w:val="006127B4"/>
    <w:pPr>
      <w:spacing w:after="0" w:line="240" w:lineRule="auto"/>
    </w:pPr>
    <w:rPr>
      <w:sz w:val="20"/>
      <w:szCs w:val="20"/>
      <w:lang w:val="es-ES_tradnl"/>
    </w:rPr>
  </w:style>
  <w:style w:type="paragraph" w:styleId="Textoindependiente">
    <w:name w:val="Body Text"/>
    <w:basedOn w:val="Normal"/>
    <w:link w:val="TextoindependienteCar"/>
    <w:uiPriority w:val="99"/>
    <w:semiHidden/>
    <w:unhideWhenUsed/>
    <w:rsid w:val="006127B4"/>
    <w:pPr>
      <w:spacing w:after="120"/>
    </w:pPr>
  </w:style>
  <w:style w:type="character" w:customStyle="1" w:styleId="TextoindependienteCar">
    <w:name w:val="Texto independiente Car"/>
    <w:basedOn w:val="Fuentedeprrafopredeter"/>
    <w:link w:val="Textoindependiente"/>
    <w:uiPriority w:val="99"/>
    <w:semiHidden/>
    <w:rsid w:val="006127B4"/>
    <w:rPr>
      <w:rFonts w:ascii="Times New Roman" w:eastAsiaTheme="minorHAnsi" w:hAnsi="Times New Roman"/>
      <w:szCs w:val="22"/>
      <w:lang w:val="en-GB" w:eastAsia="en-US"/>
    </w:rPr>
  </w:style>
  <w:style w:type="character" w:styleId="Hipervnculo">
    <w:name w:val="Hyperlink"/>
    <w:basedOn w:val="Fuentedeprrafopredeter"/>
    <w:uiPriority w:val="99"/>
    <w:semiHidden/>
    <w:unhideWhenUsed/>
    <w:rsid w:val="00CD129E"/>
    <w:rPr>
      <w:color w:val="0563C1"/>
      <w:u w:val="single"/>
    </w:rPr>
  </w:style>
  <w:style w:type="character" w:customStyle="1" w:styleId="TextonotapieCar1">
    <w:name w:val="Texto nota pie Car1"/>
    <w:aliases w:val="Texto nota pie Car Car Car Car Car Car Car Car,Texto nota pie Car Car Car Car Car Car Car Car Car Car Car,Texto nota pie Car Car Car Car Car Car Car Car Car Car Car Car Car Car Car,Texto nota pie Car Car Car Car Car"/>
    <w:locked/>
    <w:rsid w:val="00093D29"/>
    <w:rPr>
      <w:rFonts w:ascii="Times New Roman" w:eastAsia="SimSun" w:hAnsi="Times New Roman"/>
      <w:kern w:val="1"/>
      <w:sz w:val="20"/>
      <w:lang w:val="ca-E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6257">
      <w:bodyDiv w:val="1"/>
      <w:marLeft w:val="0"/>
      <w:marRight w:val="0"/>
      <w:marTop w:val="0"/>
      <w:marBottom w:val="0"/>
      <w:divBdr>
        <w:top w:val="none" w:sz="0" w:space="0" w:color="auto"/>
        <w:left w:val="none" w:sz="0" w:space="0" w:color="auto"/>
        <w:bottom w:val="none" w:sz="0" w:space="0" w:color="auto"/>
        <w:right w:val="none" w:sz="0" w:space="0" w:color="auto"/>
      </w:divBdr>
    </w:div>
    <w:div w:id="187111465">
      <w:bodyDiv w:val="1"/>
      <w:marLeft w:val="0"/>
      <w:marRight w:val="0"/>
      <w:marTop w:val="0"/>
      <w:marBottom w:val="0"/>
      <w:divBdr>
        <w:top w:val="none" w:sz="0" w:space="0" w:color="auto"/>
        <w:left w:val="none" w:sz="0" w:space="0" w:color="auto"/>
        <w:bottom w:val="none" w:sz="0" w:space="0" w:color="auto"/>
        <w:right w:val="none" w:sz="0" w:space="0" w:color="auto"/>
      </w:divBdr>
      <w:divsChild>
        <w:div w:id="1003700272">
          <w:marLeft w:val="0"/>
          <w:marRight w:val="0"/>
          <w:marTop w:val="0"/>
          <w:marBottom w:val="0"/>
          <w:divBdr>
            <w:top w:val="none" w:sz="0" w:space="0" w:color="auto"/>
            <w:left w:val="none" w:sz="0" w:space="0" w:color="auto"/>
            <w:bottom w:val="none" w:sz="0" w:space="0" w:color="auto"/>
            <w:right w:val="none" w:sz="0" w:space="0" w:color="auto"/>
          </w:divBdr>
        </w:div>
      </w:divsChild>
    </w:div>
    <w:div w:id="272441184">
      <w:bodyDiv w:val="1"/>
      <w:marLeft w:val="0"/>
      <w:marRight w:val="0"/>
      <w:marTop w:val="0"/>
      <w:marBottom w:val="0"/>
      <w:divBdr>
        <w:top w:val="none" w:sz="0" w:space="0" w:color="auto"/>
        <w:left w:val="none" w:sz="0" w:space="0" w:color="auto"/>
        <w:bottom w:val="none" w:sz="0" w:space="0" w:color="auto"/>
        <w:right w:val="none" w:sz="0" w:space="0" w:color="auto"/>
      </w:divBdr>
    </w:div>
    <w:div w:id="281034782">
      <w:bodyDiv w:val="1"/>
      <w:marLeft w:val="0"/>
      <w:marRight w:val="0"/>
      <w:marTop w:val="0"/>
      <w:marBottom w:val="0"/>
      <w:divBdr>
        <w:top w:val="none" w:sz="0" w:space="0" w:color="auto"/>
        <w:left w:val="none" w:sz="0" w:space="0" w:color="auto"/>
        <w:bottom w:val="none" w:sz="0" w:space="0" w:color="auto"/>
        <w:right w:val="none" w:sz="0" w:space="0" w:color="auto"/>
      </w:divBdr>
      <w:divsChild>
        <w:div w:id="545290636">
          <w:marLeft w:val="0"/>
          <w:marRight w:val="0"/>
          <w:marTop w:val="0"/>
          <w:marBottom w:val="0"/>
          <w:divBdr>
            <w:top w:val="none" w:sz="0" w:space="0" w:color="auto"/>
            <w:left w:val="none" w:sz="0" w:space="0" w:color="auto"/>
            <w:bottom w:val="none" w:sz="0" w:space="0" w:color="auto"/>
            <w:right w:val="none" w:sz="0" w:space="0" w:color="auto"/>
          </w:divBdr>
        </w:div>
      </w:divsChild>
    </w:div>
    <w:div w:id="412091481">
      <w:bodyDiv w:val="1"/>
      <w:marLeft w:val="0"/>
      <w:marRight w:val="0"/>
      <w:marTop w:val="0"/>
      <w:marBottom w:val="0"/>
      <w:divBdr>
        <w:top w:val="none" w:sz="0" w:space="0" w:color="auto"/>
        <w:left w:val="none" w:sz="0" w:space="0" w:color="auto"/>
        <w:bottom w:val="none" w:sz="0" w:space="0" w:color="auto"/>
        <w:right w:val="none" w:sz="0" w:space="0" w:color="auto"/>
      </w:divBdr>
      <w:divsChild>
        <w:div w:id="390271254">
          <w:marLeft w:val="0"/>
          <w:marRight w:val="0"/>
          <w:marTop w:val="0"/>
          <w:marBottom w:val="0"/>
          <w:divBdr>
            <w:top w:val="none" w:sz="0" w:space="0" w:color="auto"/>
            <w:left w:val="none" w:sz="0" w:space="0" w:color="auto"/>
            <w:bottom w:val="none" w:sz="0" w:space="0" w:color="auto"/>
            <w:right w:val="none" w:sz="0" w:space="0" w:color="auto"/>
          </w:divBdr>
        </w:div>
      </w:divsChild>
    </w:div>
    <w:div w:id="644817608">
      <w:bodyDiv w:val="1"/>
      <w:marLeft w:val="0"/>
      <w:marRight w:val="0"/>
      <w:marTop w:val="0"/>
      <w:marBottom w:val="0"/>
      <w:divBdr>
        <w:top w:val="none" w:sz="0" w:space="0" w:color="auto"/>
        <w:left w:val="none" w:sz="0" w:space="0" w:color="auto"/>
        <w:bottom w:val="none" w:sz="0" w:space="0" w:color="auto"/>
        <w:right w:val="none" w:sz="0" w:space="0" w:color="auto"/>
      </w:divBdr>
    </w:div>
    <w:div w:id="815072827">
      <w:bodyDiv w:val="1"/>
      <w:marLeft w:val="0"/>
      <w:marRight w:val="0"/>
      <w:marTop w:val="0"/>
      <w:marBottom w:val="0"/>
      <w:divBdr>
        <w:top w:val="none" w:sz="0" w:space="0" w:color="auto"/>
        <w:left w:val="none" w:sz="0" w:space="0" w:color="auto"/>
        <w:bottom w:val="none" w:sz="0" w:space="0" w:color="auto"/>
        <w:right w:val="none" w:sz="0" w:space="0" w:color="auto"/>
      </w:divBdr>
    </w:div>
    <w:div w:id="969434130">
      <w:bodyDiv w:val="1"/>
      <w:marLeft w:val="0"/>
      <w:marRight w:val="0"/>
      <w:marTop w:val="0"/>
      <w:marBottom w:val="0"/>
      <w:divBdr>
        <w:top w:val="none" w:sz="0" w:space="0" w:color="auto"/>
        <w:left w:val="none" w:sz="0" w:space="0" w:color="auto"/>
        <w:bottom w:val="none" w:sz="0" w:space="0" w:color="auto"/>
        <w:right w:val="none" w:sz="0" w:space="0" w:color="auto"/>
      </w:divBdr>
      <w:divsChild>
        <w:div w:id="208300267">
          <w:marLeft w:val="0"/>
          <w:marRight w:val="0"/>
          <w:marTop w:val="0"/>
          <w:marBottom w:val="0"/>
          <w:divBdr>
            <w:top w:val="none" w:sz="0" w:space="0" w:color="auto"/>
            <w:left w:val="none" w:sz="0" w:space="0" w:color="auto"/>
            <w:bottom w:val="none" w:sz="0" w:space="0" w:color="auto"/>
            <w:right w:val="none" w:sz="0" w:space="0" w:color="auto"/>
          </w:divBdr>
        </w:div>
      </w:divsChild>
    </w:div>
    <w:div w:id="1133643510">
      <w:bodyDiv w:val="1"/>
      <w:marLeft w:val="0"/>
      <w:marRight w:val="0"/>
      <w:marTop w:val="0"/>
      <w:marBottom w:val="0"/>
      <w:divBdr>
        <w:top w:val="none" w:sz="0" w:space="0" w:color="auto"/>
        <w:left w:val="none" w:sz="0" w:space="0" w:color="auto"/>
        <w:bottom w:val="none" w:sz="0" w:space="0" w:color="auto"/>
        <w:right w:val="none" w:sz="0" w:space="0" w:color="auto"/>
      </w:divBdr>
      <w:divsChild>
        <w:div w:id="2092116372">
          <w:marLeft w:val="0"/>
          <w:marRight w:val="0"/>
          <w:marTop w:val="0"/>
          <w:marBottom w:val="0"/>
          <w:divBdr>
            <w:top w:val="none" w:sz="0" w:space="0" w:color="auto"/>
            <w:left w:val="none" w:sz="0" w:space="0" w:color="auto"/>
            <w:bottom w:val="none" w:sz="0" w:space="0" w:color="auto"/>
            <w:right w:val="none" w:sz="0" w:space="0" w:color="auto"/>
          </w:divBdr>
        </w:div>
        <w:div w:id="801115551">
          <w:marLeft w:val="0"/>
          <w:marRight w:val="0"/>
          <w:marTop w:val="0"/>
          <w:marBottom w:val="0"/>
          <w:divBdr>
            <w:top w:val="none" w:sz="0" w:space="0" w:color="auto"/>
            <w:left w:val="none" w:sz="0" w:space="0" w:color="auto"/>
            <w:bottom w:val="none" w:sz="0" w:space="0" w:color="auto"/>
            <w:right w:val="none" w:sz="0" w:space="0" w:color="auto"/>
          </w:divBdr>
        </w:div>
        <w:div w:id="560824003">
          <w:marLeft w:val="0"/>
          <w:marRight w:val="0"/>
          <w:marTop w:val="0"/>
          <w:marBottom w:val="0"/>
          <w:divBdr>
            <w:top w:val="none" w:sz="0" w:space="0" w:color="auto"/>
            <w:left w:val="none" w:sz="0" w:space="0" w:color="auto"/>
            <w:bottom w:val="none" w:sz="0" w:space="0" w:color="auto"/>
            <w:right w:val="none" w:sz="0" w:space="0" w:color="auto"/>
          </w:divBdr>
        </w:div>
        <w:div w:id="656569280">
          <w:marLeft w:val="0"/>
          <w:marRight w:val="0"/>
          <w:marTop w:val="0"/>
          <w:marBottom w:val="0"/>
          <w:divBdr>
            <w:top w:val="none" w:sz="0" w:space="0" w:color="auto"/>
            <w:left w:val="none" w:sz="0" w:space="0" w:color="auto"/>
            <w:bottom w:val="none" w:sz="0" w:space="0" w:color="auto"/>
            <w:right w:val="none" w:sz="0" w:space="0" w:color="auto"/>
          </w:divBdr>
        </w:div>
        <w:div w:id="1168717634">
          <w:marLeft w:val="0"/>
          <w:marRight w:val="0"/>
          <w:marTop w:val="0"/>
          <w:marBottom w:val="0"/>
          <w:divBdr>
            <w:top w:val="none" w:sz="0" w:space="0" w:color="auto"/>
            <w:left w:val="none" w:sz="0" w:space="0" w:color="auto"/>
            <w:bottom w:val="none" w:sz="0" w:space="0" w:color="auto"/>
            <w:right w:val="none" w:sz="0" w:space="0" w:color="auto"/>
          </w:divBdr>
        </w:div>
        <w:div w:id="2027050829">
          <w:marLeft w:val="0"/>
          <w:marRight w:val="0"/>
          <w:marTop w:val="0"/>
          <w:marBottom w:val="0"/>
          <w:divBdr>
            <w:top w:val="none" w:sz="0" w:space="0" w:color="auto"/>
            <w:left w:val="none" w:sz="0" w:space="0" w:color="auto"/>
            <w:bottom w:val="none" w:sz="0" w:space="0" w:color="auto"/>
            <w:right w:val="none" w:sz="0" w:space="0" w:color="auto"/>
          </w:divBdr>
        </w:div>
      </w:divsChild>
    </w:div>
    <w:div w:id="1407189193">
      <w:bodyDiv w:val="1"/>
      <w:marLeft w:val="0"/>
      <w:marRight w:val="0"/>
      <w:marTop w:val="0"/>
      <w:marBottom w:val="0"/>
      <w:divBdr>
        <w:top w:val="none" w:sz="0" w:space="0" w:color="auto"/>
        <w:left w:val="none" w:sz="0" w:space="0" w:color="auto"/>
        <w:bottom w:val="none" w:sz="0" w:space="0" w:color="auto"/>
        <w:right w:val="none" w:sz="0" w:space="0" w:color="auto"/>
      </w:divBdr>
      <w:divsChild>
        <w:div w:id="1906798195">
          <w:marLeft w:val="0"/>
          <w:marRight w:val="0"/>
          <w:marTop w:val="0"/>
          <w:marBottom w:val="0"/>
          <w:divBdr>
            <w:top w:val="none" w:sz="0" w:space="0" w:color="auto"/>
            <w:left w:val="none" w:sz="0" w:space="0" w:color="auto"/>
            <w:bottom w:val="none" w:sz="0" w:space="0" w:color="auto"/>
            <w:right w:val="none" w:sz="0" w:space="0" w:color="auto"/>
          </w:divBdr>
        </w:div>
      </w:divsChild>
    </w:div>
    <w:div w:id="1408455072">
      <w:bodyDiv w:val="1"/>
      <w:marLeft w:val="0"/>
      <w:marRight w:val="0"/>
      <w:marTop w:val="0"/>
      <w:marBottom w:val="0"/>
      <w:divBdr>
        <w:top w:val="none" w:sz="0" w:space="0" w:color="auto"/>
        <w:left w:val="none" w:sz="0" w:space="0" w:color="auto"/>
        <w:bottom w:val="none" w:sz="0" w:space="0" w:color="auto"/>
        <w:right w:val="none" w:sz="0" w:space="0" w:color="auto"/>
      </w:divBdr>
      <w:divsChild>
        <w:div w:id="872115813">
          <w:marLeft w:val="0"/>
          <w:marRight w:val="0"/>
          <w:marTop w:val="0"/>
          <w:marBottom w:val="0"/>
          <w:divBdr>
            <w:top w:val="none" w:sz="0" w:space="0" w:color="auto"/>
            <w:left w:val="none" w:sz="0" w:space="0" w:color="auto"/>
            <w:bottom w:val="none" w:sz="0" w:space="0" w:color="auto"/>
            <w:right w:val="none" w:sz="0" w:space="0" w:color="auto"/>
          </w:divBdr>
        </w:div>
      </w:divsChild>
    </w:div>
    <w:div w:id="1557156182">
      <w:bodyDiv w:val="1"/>
      <w:marLeft w:val="0"/>
      <w:marRight w:val="0"/>
      <w:marTop w:val="0"/>
      <w:marBottom w:val="0"/>
      <w:divBdr>
        <w:top w:val="none" w:sz="0" w:space="0" w:color="auto"/>
        <w:left w:val="none" w:sz="0" w:space="0" w:color="auto"/>
        <w:bottom w:val="none" w:sz="0" w:space="0" w:color="auto"/>
        <w:right w:val="none" w:sz="0" w:space="0" w:color="auto"/>
      </w:divBdr>
    </w:div>
    <w:div w:id="1627538283">
      <w:bodyDiv w:val="1"/>
      <w:marLeft w:val="0"/>
      <w:marRight w:val="0"/>
      <w:marTop w:val="0"/>
      <w:marBottom w:val="0"/>
      <w:divBdr>
        <w:top w:val="none" w:sz="0" w:space="0" w:color="auto"/>
        <w:left w:val="none" w:sz="0" w:space="0" w:color="auto"/>
        <w:bottom w:val="none" w:sz="0" w:space="0" w:color="auto"/>
        <w:right w:val="none" w:sz="0" w:space="0" w:color="auto"/>
      </w:divBdr>
      <w:divsChild>
        <w:div w:id="325986326">
          <w:marLeft w:val="0"/>
          <w:marRight w:val="0"/>
          <w:marTop w:val="0"/>
          <w:marBottom w:val="0"/>
          <w:divBdr>
            <w:top w:val="none" w:sz="0" w:space="0" w:color="auto"/>
            <w:left w:val="none" w:sz="0" w:space="0" w:color="auto"/>
            <w:bottom w:val="none" w:sz="0" w:space="0" w:color="auto"/>
            <w:right w:val="none" w:sz="0" w:space="0" w:color="auto"/>
          </w:divBdr>
        </w:div>
      </w:divsChild>
    </w:div>
    <w:div w:id="1719041867">
      <w:bodyDiv w:val="1"/>
      <w:marLeft w:val="0"/>
      <w:marRight w:val="0"/>
      <w:marTop w:val="0"/>
      <w:marBottom w:val="0"/>
      <w:divBdr>
        <w:top w:val="none" w:sz="0" w:space="0" w:color="auto"/>
        <w:left w:val="none" w:sz="0" w:space="0" w:color="auto"/>
        <w:bottom w:val="none" w:sz="0" w:space="0" w:color="auto"/>
        <w:right w:val="none" w:sz="0" w:space="0" w:color="auto"/>
      </w:divBdr>
      <w:divsChild>
        <w:div w:id="1111514838">
          <w:marLeft w:val="0"/>
          <w:marRight w:val="0"/>
          <w:marTop w:val="0"/>
          <w:marBottom w:val="0"/>
          <w:divBdr>
            <w:top w:val="none" w:sz="0" w:space="0" w:color="auto"/>
            <w:left w:val="none" w:sz="0" w:space="0" w:color="auto"/>
            <w:bottom w:val="none" w:sz="0" w:space="0" w:color="auto"/>
            <w:right w:val="none" w:sz="0" w:space="0" w:color="auto"/>
          </w:divBdr>
        </w:div>
      </w:divsChild>
    </w:div>
    <w:div w:id="2083061897">
      <w:bodyDiv w:val="1"/>
      <w:marLeft w:val="0"/>
      <w:marRight w:val="0"/>
      <w:marTop w:val="0"/>
      <w:marBottom w:val="0"/>
      <w:divBdr>
        <w:top w:val="none" w:sz="0" w:space="0" w:color="auto"/>
        <w:left w:val="none" w:sz="0" w:space="0" w:color="auto"/>
        <w:bottom w:val="none" w:sz="0" w:space="0" w:color="auto"/>
        <w:right w:val="none" w:sz="0" w:space="0" w:color="auto"/>
      </w:divBdr>
      <w:divsChild>
        <w:div w:id="104957282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derjudicial.es/search/indexAN.jsp" TargetMode="External"/><Relationship Id="rId13" Type="http://schemas.openxmlformats.org/officeDocument/2006/relationships/hyperlink" Target="https://www.poderjudicial.es/search/indexAN.js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oderjudicial.es/search/indexAN.js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derjudicial.es/search/indexAN.jsp"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poderjudicial.es/search/indexAN.jsp"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poderjudicial.es/search/indexAN.jsp" TargetMode="External"/><Relationship Id="rId14" Type="http://schemas.openxmlformats.org/officeDocument/2006/relationships/hyperlink" Target="https://www.poderjudicial.es/search/indexAN.jsp" TargetMode="Externa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hyperlink" Target="http://dx.doi.org/10.17345/rcda.70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B4C71E0E704099ACE5B1C8808EBE92"/>
        <w:category>
          <w:name w:val="General"/>
          <w:gallery w:val="placeholder"/>
        </w:category>
        <w:types>
          <w:type w:val="bbPlcHdr"/>
        </w:types>
        <w:behaviors>
          <w:behavior w:val="content"/>
        </w:behaviors>
        <w:guid w:val="{D7886B97-3468-4439-9D7E-A7ECD422E5CE}"/>
      </w:docPartPr>
      <w:docPartBody>
        <w:p w:rsidR="00000000" w:rsidRDefault="009F1579" w:rsidP="009F1579">
          <w:pPr>
            <w:pStyle w:val="60B4C71E0E704099ACE5B1C8808EBE92"/>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F6B6EA1B69824716B0B88FA7F991C5FC"/>
        <w:category>
          <w:name w:val="General"/>
          <w:gallery w:val="placeholder"/>
        </w:category>
        <w:types>
          <w:type w:val="bbPlcHdr"/>
        </w:types>
        <w:behaviors>
          <w:behavior w:val="content"/>
        </w:behaviors>
        <w:guid w:val="{991B8F4B-89B2-4254-9C9C-24DA9FB5864D}"/>
      </w:docPartPr>
      <w:docPartBody>
        <w:p w:rsidR="00000000" w:rsidRDefault="009F1579" w:rsidP="009F1579">
          <w:pPr>
            <w:pStyle w:val="F6B6EA1B69824716B0B88FA7F991C5FC"/>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641F8DE951E74F57928AADABD8457C8A"/>
        <w:category>
          <w:name w:val="General"/>
          <w:gallery w:val="placeholder"/>
        </w:category>
        <w:types>
          <w:type w:val="bbPlcHdr"/>
        </w:types>
        <w:behaviors>
          <w:behavior w:val="content"/>
        </w:behaviors>
        <w:guid w:val="{858B6E2F-18A9-494C-8F58-9432AD478388}"/>
      </w:docPartPr>
      <w:docPartBody>
        <w:p w:rsidR="00000000" w:rsidRDefault="009F1579" w:rsidP="009F1579">
          <w:pPr>
            <w:pStyle w:val="641F8DE951E74F57928AADABD8457C8A"/>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
    <w:altName w:val="~??eg"/>
    <w:panose1 w:val="00000000000000000000"/>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176"/>
    <w:rsid w:val="001119B4"/>
    <w:rsid w:val="00496A2D"/>
    <w:rsid w:val="005C1F03"/>
    <w:rsid w:val="005F1E7E"/>
    <w:rsid w:val="005F30FB"/>
    <w:rsid w:val="007113ED"/>
    <w:rsid w:val="007207C5"/>
    <w:rsid w:val="009F1579"/>
    <w:rsid w:val="00A33D8A"/>
    <w:rsid w:val="00A47176"/>
    <w:rsid w:val="00CD107D"/>
    <w:rsid w:val="00D65D1A"/>
    <w:rsid w:val="00F3348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FB0D186B3A1C14B8C50968E27B2802A">
    <w:name w:val="DFB0D186B3A1C14B8C50968E27B2802A"/>
    <w:rsid w:val="00A47176"/>
  </w:style>
  <w:style w:type="paragraph" w:customStyle="1" w:styleId="2665EA5B637922429CD5EE5E5088F25E">
    <w:name w:val="2665EA5B637922429CD5EE5E5088F25E"/>
    <w:rsid w:val="00A47176"/>
  </w:style>
  <w:style w:type="paragraph" w:customStyle="1" w:styleId="A70F4EEB55E64A41B9EB95A5BF8BA645">
    <w:name w:val="A70F4EEB55E64A41B9EB95A5BF8BA645"/>
    <w:rsid w:val="00A47176"/>
  </w:style>
  <w:style w:type="paragraph" w:customStyle="1" w:styleId="4503972F5913064381C88F40BF90E1ED">
    <w:name w:val="4503972F5913064381C88F40BF90E1ED"/>
    <w:rsid w:val="00A47176"/>
  </w:style>
  <w:style w:type="paragraph" w:customStyle="1" w:styleId="B8F6DFD3443FF64FA58DF92C8CE9EDA1">
    <w:name w:val="B8F6DFD3443FF64FA58DF92C8CE9EDA1"/>
    <w:rsid w:val="00A47176"/>
  </w:style>
  <w:style w:type="paragraph" w:customStyle="1" w:styleId="95D825F17DA8F249815AF18AD657FB85">
    <w:name w:val="95D825F17DA8F249815AF18AD657FB85"/>
    <w:rsid w:val="00A47176"/>
  </w:style>
  <w:style w:type="paragraph" w:customStyle="1" w:styleId="F40865971A39C044BF99FDF23A9D887A">
    <w:name w:val="F40865971A39C044BF99FDF23A9D887A"/>
    <w:rsid w:val="00A47176"/>
  </w:style>
  <w:style w:type="paragraph" w:customStyle="1" w:styleId="60B4C71E0E704099ACE5B1C8808EBE92">
    <w:name w:val="60B4C71E0E704099ACE5B1C8808EBE92"/>
    <w:rsid w:val="009F1579"/>
    <w:pPr>
      <w:spacing w:after="160" w:line="259" w:lineRule="auto"/>
    </w:pPr>
    <w:rPr>
      <w:sz w:val="22"/>
      <w:szCs w:val="22"/>
      <w:lang w:eastAsia="es-ES"/>
    </w:rPr>
  </w:style>
  <w:style w:type="paragraph" w:customStyle="1" w:styleId="3C0EC8F732164DC8968B23566A67D5E0">
    <w:name w:val="3C0EC8F732164DC8968B23566A67D5E0"/>
    <w:rsid w:val="009F1579"/>
    <w:pPr>
      <w:spacing w:after="160" w:line="259" w:lineRule="auto"/>
    </w:pPr>
    <w:rPr>
      <w:sz w:val="22"/>
      <w:szCs w:val="22"/>
      <w:lang w:eastAsia="es-ES"/>
    </w:rPr>
  </w:style>
  <w:style w:type="paragraph" w:customStyle="1" w:styleId="F6B6EA1B69824716B0B88FA7F991C5FC">
    <w:name w:val="F6B6EA1B69824716B0B88FA7F991C5FC"/>
    <w:rsid w:val="009F1579"/>
    <w:pPr>
      <w:spacing w:after="160" w:line="259" w:lineRule="auto"/>
    </w:pPr>
    <w:rPr>
      <w:sz w:val="22"/>
      <w:szCs w:val="22"/>
      <w:lang w:eastAsia="es-ES"/>
    </w:rPr>
  </w:style>
  <w:style w:type="paragraph" w:customStyle="1" w:styleId="5527A4792E3149C484F7A7E9AE9186B2">
    <w:name w:val="5527A4792E3149C484F7A7E9AE9186B2"/>
    <w:rsid w:val="009F1579"/>
    <w:pPr>
      <w:spacing w:after="160" w:line="259" w:lineRule="auto"/>
    </w:pPr>
    <w:rPr>
      <w:sz w:val="22"/>
      <w:szCs w:val="22"/>
      <w:lang w:eastAsia="es-ES"/>
    </w:rPr>
  </w:style>
  <w:style w:type="paragraph" w:customStyle="1" w:styleId="8F843B0BA2194AE3A1A16C2A800CD81B">
    <w:name w:val="8F843B0BA2194AE3A1A16C2A800CD81B"/>
    <w:rsid w:val="009F1579"/>
    <w:pPr>
      <w:spacing w:after="160" w:line="259" w:lineRule="auto"/>
    </w:pPr>
    <w:rPr>
      <w:sz w:val="22"/>
      <w:szCs w:val="22"/>
      <w:lang w:eastAsia="es-ES"/>
    </w:rPr>
  </w:style>
  <w:style w:type="paragraph" w:customStyle="1" w:styleId="641F8DE951E74F57928AADABD8457C8A">
    <w:name w:val="641F8DE951E74F57928AADABD8457C8A"/>
    <w:rsid w:val="009F1579"/>
    <w:pPr>
      <w:spacing w:after="160" w:line="259" w:lineRule="auto"/>
    </w:pPr>
    <w:rPr>
      <w:sz w:val="22"/>
      <w:szCs w:val="22"/>
      <w:lang w:eastAsia="es-ES"/>
    </w:rPr>
  </w:style>
  <w:style w:type="paragraph" w:customStyle="1" w:styleId="AB162DB4652147E797A364E2853990E1">
    <w:name w:val="AB162DB4652147E797A364E2853990E1"/>
    <w:rsid w:val="009F1579"/>
    <w:pPr>
      <w:spacing w:after="160" w:line="259" w:lineRule="auto"/>
    </w:pPr>
    <w:rPr>
      <w:sz w:val="22"/>
      <w:szCs w:val="22"/>
      <w:lang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7D8F8-F190-8946-8D4C-2E26E8B43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Pages>
  <Words>2720</Words>
  <Characters>14966</Characters>
  <Application>Microsoft Office Word</Application>
  <DocSecurity>0</DocSecurity>
  <Lines>124</Lines>
  <Paragraphs>35</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Cardesa Salzmann</dc:creator>
  <cp:keywords/>
  <dc:description/>
  <cp:lastModifiedBy>Mònica Pons Hernández</cp:lastModifiedBy>
  <cp:revision>49</cp:revision>
  <dcterms:created xsi:type="dcterms:W3CDTF">2016-11-18T12:40:00Z</dcterms:created>
  <dcterms:modified xsi:type="dcterms:W3CDTF">2022-11-23T15:42:00Z</dcterms:modified>
</cp:coreProperties>
</file>