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8B4537" w:rsidRDefault="00CB043D">
      <w:pPr>
        <w:spacing w:after="0" w:line="240" w:lineRule="auto"/>
        <w:jc w:val="left"/>
        <w:rPr>
          <w:rFonts w:ascii="Arial" w:hAnsi="Arial"/>
        </w:rPr>
      </w:pPr>
    </w:p>
    <w:p w14:paraId="278E43CB" w14:textId="7C0E2D40" w:rsidR="00CB043D" w:rsidRPr="008B4537" w:rsidRDefault="00B7765D" w:rsidP="006127B4">
      <w:pPr>
        <w:pStyle w:val="Ttulo"/>
        <w:rPr>
          <w:rFonts w:ascii="Arial" w:hAnsi="Arial"/>
          <w:lang w:val="es-ES"/>
        </w:rPr>
      </w:pPr>
      <w:r w:rsidRPr="008B4537">
        <w:rPr>
          <w:rFonts w:ascii="Arial" w:hAnsi="Arial"/>
          <w:lang w:val="es-ES"/>
        </w:rPr>
        <w:t>JURISPRUDENCIA AMBIENTAL EN CASTILLA Y LEÓN</w:t>
      </w:r>
    </w:p>
    <w:p w14:paraId="0405F4EA" w14:textId="77777777" w:rsidR="00CB043D" w:rsidRPr="008B4537" w:rsidRDefault="00CB043D" w:rsidP="00CB043D">
      <w:pPr>
        <w:spacing w:after="0"/>
        <w:jc w:val="center"/>
        <w:rPr>
          <w:rFonts w:ascii="Arial" w:hAnsi="Arial"/>
          <w:i/>
        </w:rPr>
      </w:pPr>
    </w:p>
    <w:p w14:paraId="35B809D7" w14:textId="466D5095" w:rsidR="00CB043D" w:rsidRPr="008B4537" w:rsidRDefault="009C33A0" w:rsidP="000128E0">
      <w:pPr>
        <w:pStyle w:val="Subttulo"/>
        <w:rPr>
          <w:rFonts w:ascii="Arial" w:hAnsi="Arial"/>
          <w:smallCaps/>
        </w:rPr>
      </w:pPr>
      <w:r w:rsidRPr="008B4537">
        <w:rPr>
          <w:rFonts w:ascii="Arial" w:hAnsi="Arial"/>
          <w:smallCaps/>
        </w:rPr>
        <w:t>IÑIGO SANZ RUBIALES</w:t>
      </w:r>
    </w:p>
    <w:p w14:paraId="34D484EA" w14:textId="286F71C4" w:rsidR="000F05A2" w:rsidRPr="008B4537" w:rsidRDefault="000F05A2" w:rsidP="000F05A2">
      <w:pPr>
        <w:jc w:val="center"/>
        <w:rPr>
          <w:rFonts w:ascii="Arial" w:hAnsi="Arial"/>
          <w:i/>
        </w:rPr>
      </w:pPr>
      <w:r w:rsidRPr="008B4537">
        <w:rPr>
          <w:rFonts w:ascii="Arial" w:hAnsi="Arial"/>
          <w:i/>
        </w:rPr>
        <w:t>Catedrático de Derecho Administrativo</w:t>
      </w:r>
    </w:p>
    <w:p w14:paraId="7EEFDC53" w14:textId="55DE9D41" w:rsidR="00BF31E0" w:rsidRPr="008B4537" w:rsidRDefault="000F05A2" w:rsidP="000F05A2">
      <w:pPr>
        <w:jc w:val="center"/>
        <w:rPr>
          <w:rFonts w:ascii="Arial" w:hAnsi="Arial"/>
          <w:i/>
        </w:rPr>
      </w:pPr>
      <w:r w:rsidRPr="008B4537">
        <w:rPr>
          <w:rFonts w:ascii="Arial" w:hAnsi="Arial"/>
          <w:i/>
        </w:rPr>
        <w:t>Universidad de Valladolid</w:t>
      </w:r>
    </w:p>
    <w:p w14:paraId="5843A1F3" w14:textId="77777777" w:rsidR="000F05A2" w:rsidRPr="008B4537" w:rsidRDefault="000F05A2" w:rsidP="000F05A2">
      <w:pPr>
        <w:jc w:val="center"/>
        <w:rPr>
          <w:rFonts w:ascii="Arial" w:hAnsi="Arial"/>
          <w:lang w:eastAsia="es-ES"/>
        </w:rPr>
      </w:pPr>
    </w:p>
    <w:p w14:paraId="7B99F8B1" w14:textId="415828D3" w:rsidR="00F342E5" w:rsidRPr="008B4537" w:rsidRDefault="00F342E5" w:rsidP="006127B4">
      <w:pPr>
        <w:pStyle w:val="Sumario"/>
        <w:rPr>
          <w:rFonts w:ascii="Arial" w:hAnsi="Arial"/>
          <w:lang w:val="es-ES"/>
        </w:rPr>
      </w:pPr>
      <w:r w:rsidRPr="008B4537">
        <w:rPr>
          <w:rFonts w:ascii="Arial" w:hAnsi="Arial"/>
          <w:b/>
          <w:lang w:val="es-ES"/>
        </w:rPr>
        <w:t xml:space="preserve">Sumario: </w:t>
      </w:r>
      <w:r w:rsidRPr="008B4537">
        <w:rPr>
          <w:rFonts w:ascii="Arial" w:hAnsi="Arial"/>
          <w:lang w:val="es-ES"/>
        </w:rPr>
        <w:t xml:space="preserve">1. </w:t>
      </w:r>
      <w:r w:rsidR="00CC5DE0" w:rsidRPr="008B4537">
        <w:rPr>
          <w:rFonts w:ascii="Arial" w:hAnsi="Arial"/>
          <w:lang w:val="es-ES"/>
        </w:rPr>
        <w:t xml:space="preserve">Introducción. 2. Energías renovables y modelo rural de vida agrícola. El papel de los bienes comunales 3. Sobre la impugnabilidad de la prórroga de la Declaración de Impacto Ambiental. Un ejemplo paradigmático de jurisprudencia creativa </w:t>
      </w:r>
      <w:r w:rsidR="00CC5DE0" w:rsidRPr="00035B01">
        <w:rPr>
          <w:rFonts w:ascii="Arial" w:hAnsi="Arial"/>
          <w:i/>
          <w:iCs/>
          <w:lang w:val="es-ES"/>
        </w:rPr>
        <w:t xml:space="preserve">pro </w:t>
      </w:r>
      <w:proofErr w:type="spellStart"/>
      <w:r w:rsidR="00CC5DE0" w:rsidRPr="00035B01">
        <w:rPr>
          <w:rFonts w:ascii="Arial" w:hAnsi="Arial"/>
          <w:i/>
          <w:iCs/>
          <w:lang w:val="es-ES"/>
        </w:rPr>
        <w:t>actione</w:t>
      </w:r>
      <w:proofErr w:type="spellEnd"/>
      <w:r w:rsidR="00CC5DE0" w:rsidRPr="008B4537">
        <w:rPr>
          <w:rFonts w:ascii="Arial" w:hAnsi="Arial"/>
          <w:lang w:val="es-ES"/>
        </w:rPr>
        <w:t xml:space="preserve">. 4. Explotaciones porcinas y tutela cautelar. La necesidad de acreditar el </w:t>
      </w:r>
      <w:proofErr w:type="spellStart"/>
      <w:r w:rsidR="00CC5DE0" w:rsidRPr="00035B01">
        <w:rPr>
          <w:rFonts w:ascii="Arial" w:hAnsi="Arial"/>
          <w:i/>
          <w:iCs/>
          <w:lang w:val="es-ES"/>
        </w:rPr>
        <w:t>periculum</w:t>
      </w:r>
      <w:proofErr w:type="spellEnd"/>
      <w:r w:rsidR="00CC5DE0" w:rsidRPr="00035B01">
        <w:rPr>
          <w:rFonts w:ascii="Arial" w:hAnsi="Arial"/>
          <w:i/>
          <w:iCs/>
          <w:lang w:val="es-ES"/>
        </w:rPr>
        <w:t xml:space="preserve"> in mora</w:t>
      </w:r>
      <w:r w:rsidR="00CC5DE0" w:rsidRPr="008B4537">
        <w:rPr>
          <w:rFonts w:ascii="Arial" w:hAnsi="Arial"/>
          <w:lang w:val="es-ES"/>
        </w:rPr>
        <w:t>. 5. Sobre la inactividad administrativa en materia de defensa contra los ruidos.</w:t>
      </w:r>
    </w:p>
    <w:p w14:paraId="2049D5F0" w14:textId="77777777" w:rsidR="000620B9" w:rsidRPr="008B4537" w:rsidRDefault="000620B9" w:rsidP="000620B9">
      <w:pPr>
        <w:rPr>
          <w:rFonts w:ascii="Arial" w:hAnsi="Arial"/>
        </w:rPr>
      </w:pPr>
    </w:p>
    <w:p w14:paraId="48D600B0" w14:textId="72A44647" w:rsidR="00CB043D" w:rsidRPr="008B4537" w:rsidRDefault="00CB043D" w:rsidP="006127B4">
      <w:pPr>
        <w:pStyle w:val="Ttulo1"/>
        <w:rPr>
          <w:rFonts w:ascii="Arial" w:hAnsi="Arial"/>
          <w:lang w:val="es-ES"/>
        </w:rPr>
      </w:pPr>
      <w:r w:rsidRPr="008B4537">
        <w:rPr>
          <w:rFonts w:ascii="Arial" w:hAnsi="Arial"/>
          <w:lang w:val="es-ES"/>
        </w:rPr>
        <w:t xml:space="preserve">1. </w:t>
      </w:r>
      <w:r w:rsidR="00A456E0" w:rsidRPr="008B4537">
        <w:rPr>
          <w:rFonts w:ascii="Arial" w:hAnsi="Arial"/>
          <w:lang w:val="es-ES"/>
        </w:rPr>
        <w:t>INTRODUCCIÓN</w:t>
      </w:r>
    </w:p>
    <w:p w14:paraId="21BA1C28" w14:textId="4276E998" w:rsidR="00A63FC3" w:rsidRPr="008B4537" w:rsidRDefault="00A63FC3" w:rsidP="00A63FC3">
      <w:pPr>
        <w:rPr>
          <w:rFonts w:ascii="Arial" w:hAnsi="Arial"/>
        </w:rPr>
      </w:pPr>
      <w:r w:rsidRPr="008B4537">
        <w:rPr>
          <w:rFonts w:ascii="Arial" w:hAnsi="Arial"/>
        </w:rPr>
        <w:t xml:space="preserve">Se traen a colación pocas resoluciones judiciales, pero que tienen un interés especial y doble: por una </w:t>
      </w:r>
      <w:r w:rsidR="00C36452" w:rsidRPr="008B4537">
        <w:rPr>
          <w:rFonts w:ascii="Arial" w:hAnsi="Arial"/>
        </w:rPr>
        <w:t>parte,</w:t>
      </w:r>
      <w:r w:rsidRPr="008B4537">
        <w:rPr>
          <w:rFonts w:ascii="Arial" w:hAnsi="Arial"/>
        </w:rPr>
        <w:t xml:space="preserve"> afectan a temas de la actualidad ambiental más relevante: las energías renovables, la España vaciada, la impugnabilidad de actuaciones del procedimiento de Evaluación de Impacto, las explotaciones ganaderas intensivas y su compatibilidad ambiental, las medidas cautelares y su adopción… </w:t>
      </w:r>
      <w:r w:rsidR="008B4537" w:rsidRPr="008B4537">
        <w:rPr>
          <w:rFonts w:ascii="Arial" w:hAnsi="Arial"/>
        </w:rPr>
        <w:t>Pero,</w:t>
      </w:r>
      <w:r w:rsidRPr="008B4537">
        <w:rPr>
          <w:rFonts w:ascii="Arial" w:hAnsi="Arial"/>
        </w:rPr>
        <w:t xml:space="preserve"> por otra parte, son sentencias con interesante argumentación técnica-jurídica; en algún caso, enormemente creativas en la interpretación </w:t>
      </w:r>
      <w:r w:rsidRPr="005C7D7B">
        <w:rPr>
          <w:rFonts w:ascii="Arial" w:hAnsi="Arial"/>
          <w:i/>
          <w:iCs/>
        </w:rPr>
        <w:t xml:space="preserve">pro </w:t>
      </w:r>
      <w:proofErr w:type="spellStart"/>
      <w:r w:rsidRPr="005C7D7B">
        <w:rPr>
          <w:rFonts w:ascii="Arial" w:hAnsi="Arial"/>
          <w:i/>
          <w:iCs/>
        </w:rPr>
        <w:t>actione</w:t>
      </w:r>
      <w:proofErr w:type="spellEnd"/>
      <w:r w:rsidRPr="008B4537">
        <w:rPr>
          <w:rFonts w:ascii="Arial" w:hAnsi="Arial"/>
        </w:rPr>
        <w:t xml:space="preserve"> de los requisitos de acceso al proceso judicial (aunque después sea desestimatoria) y en otros, paradigmáticas de la interpretación</w:t>
      </w:r>
      <w:r w:rsidR="00C36452" w:rsidRPr="008B4537">
        <w:rPr>
          <w:rFonts w:ascii="Arial" w:hAnsi="Arial"/>
        </w:rPr>
        <w:t xml:space="preserve"> </w:t>
      </w:r>
      <w:r w:rsidRPr="008B4537">
        <w:rPr>
          <w:rFonts w:ascii="Arial" w:hAnsi="Arial"/>
        </w:rPr>
        <w:t xml:space="preserve">“tradicional” de las medidas </w:t>
      </w:r>
      <w:proofErr w:type="gramStart"/>
      <w:r w:rsidRPr="008B4537">
        <w:rPr>
          <w:rFonts w:ascii="Arial" w:hAnsi="Arial"/>
        </w:rPr>
        <w:t>cautelares</w:t>
      </w:r>
      <w:proofErr w:type="gramEnd"/>
      <w:r w:rsidRPr="008B4537">
        <w:rPr>
          <w:rFonts w:ascii="Arial" w:hAnsi="Arial"/>
        </w:rPr>
        <w:t xml:space="preserve"> pero con matices distintivos.</w:t>
      </w:r>
    </w:p>
    <w:p w14:paraId="70F44B34" w14:textId="65345B5C" w:rsidR="00CC15ED" w:rsidRPr="008B4537" w:rsidRDefault="00A63FC3" w:rsidP="00A63FC3">
      <w:pPr>
        <w:rPr>
          <w:rFonts w:ascii="Arial" w:hAnsi="Arial"/>
        </w:rPr>
      </w:pPr>
      <w:r w:rsidRPr="008B4537">
        <w:rPr>
          <w:rFonts w:ascii="Arial" w:hAnsi="Arial"/>
        </w:rPr>
        <w:t>En todo caso, queda claro que esta breve selección muestra algunos de los principales problemas jurídico-ambientales vistos desde la perspectiva de los demandantes, de las Administraciones demandadas y, con carácter definitivo, desde la visión de los juzgadores</w:t>
      </w:r>
      <w:r w:rsidR="006127B4" w:rsidRPr="008B4537">
        <w:rPr>
          <w:rFonts w:ascii="Arial" w:hAnsi="Arial"/>
        </w:rPr>
        <w:t xml:space="preserve">. </w:t>
      </w:r>
    </w:p>
    <w:p w14:paraId="24A1B94E" w14:textId="7236D24B" w:rsidR="00C36452" w:rsidRPr="008B4537" w:rsidRDefault="00C36452" w:rsidP="00A63FC3">
      <w:pPr>
        <w:rPr>
          <w:rFonts w:ascii="Arial" w:hAnsi="Arial"/>
          <w:b/>
          <w:bCs/>
        </w:rPr>
      </w:pPr>
      <w:r w:rsidRPr="008B4537">
        <w:rPr>
          <w:rFonts w:ascii="Arial" w:hAnsi="Arial"/>
          <w:b/>
          <w:bCs/>
        </w:rPr>
        <w:t xml:space="preserve">2. </w:t>
      </w:r>
      <w:r w:rsidR="008B4537" w:rsidRPr="008B4537">
        <w:rPr>
          <w:rFonts w:ascii="Arial" w:hAnsi="Arial"/>
          <w:b/>
          <w:bCs/>
        </w:rPr>
        <w:t>ENERGIAS RENOVABLES Y MODELO RURAL DE VIDA AGRICOLA. EL PAPEL DE LOS BIENES COMUNALES</w:t>
      </w:r>
    </w:p>
    <w:p w14:paraId="1DB4C827" w14:textId="5693BDD7" w:rsidR="00DB0375" w:rsidRPr="0050041D" w:rsidRDefault="00DB0375" w:rsidP="00DB0375">
      <w:pPr>
        <w:spacing w:after="120"/>
        <w:rPr>
          <w:rFonts w:ascii="Arial" w:hAnsi="Arial" w:cs="Arial"/>
          <w:szCs w:val="24"/>
        </w:rPr>
      </w:pPr>
      <w:r w:rsidRPr="0050041D">
        <w:rPr>
          <w:rFonts w:ascii="Arial" w:hAnsi="Arial" w:cs="Arial"/>
          <w:szCs w:val="24"/>
        </w:rPr>
        <w:lastRenderedPageBreak/>
        <w:t>La sentencia de la Sala de lo contencioso del TSJ (Valladolid) de 5 de mayo de 2022 (</w:t>
      </w:r>
      <w:proofErr w:type="spellStart"/>
      <w:r w:rsidRPr="0050041D">
        <w:rPr>
          <w:rFonts w:ascii="Arial" w:hAnsi="Arial" w:cs="Arial"/>
          <w:szCs w:val="24"/>
        </w:rPr>
        <w:t>rec.</w:t>
      </w:r>
      <w:proofErr w:type="spellEnd"/>
      <w:r w:rsidRPr="0050041D">
        <w:rPr>
          <w:rFonts w:ascii="Arial" w:hAnsi="Arial" w:cs="Arial"/>
          <w:szCs w:val="24"/>
        </w:rPr>
        <w:t xml:space="preserve"> 247/2021) tiene un extraordinario interés porque resuelve un conflicto entre el fomento de energías renovables y la regulación de los bienes comunales de los pueblos. No se trata de un problema aislado, porque en diversas ocasiones se ha planteado la posibilidad de afectar estos tradicionales bienes públicos a instalaciones de generación de electricidad limpia.</w:t>
      </w:r>
    </w:p>
    <w:p w14:paraId="3B6F4D92" w14:textId="77777777" w:rsidR="00DB0375" w:rsidRPr="0050041D" w:rsidRDefault="00DB0375" w:rsidP="00DB0375">
      <w:pPr>
        <w:spacing w:after="120"/>
        <w:rPr>
          <w:rFonts w:ascii="Arial" w:hAnsi="Arial" w:cs="Arial"/>
          <w:szCs w:val="24"/>
        </w:rPr>
      </w:pPr>
      <w:r w:rsidRPr="0050041D">
        <w:rPr>
          <w:rFonts w:ascii="Arial" w:hAnsi="Arial" w:cs="Arial"/>
          <w:szCs w:val="24"/>
        </w:rPr>
        <w:t>El Ayuntamiento de Paredes de Nava –un pueblo palentino de relevante historia- acordó acotar casi la mitad del monte comunal, a efectos de dedicar lo acotado a usos industriales o de promoción de energías renovables.</w:t>
      </w:r>
    </w:p>
    <w:p w14:paraId="37FFA5DE" w14:textId="77777777" w:rsidR="00DB0375" w:rsidRPr="0050041D" w:rsidRDefault="00DB0375" w:rsidP="00DB0375">
      <w:pPr>
        <w:spacing w:after="120"/>
        <w:rPr>
          <w:rFonts w:ascii="Arial" w:hAnsi="Arial" w:cs="Arial"/>
          <w:szCs w:val="24"/>
        </w:rPr>
      </w:pPr>
      <w:r w:rsidRPr="0050041D">
        <w:rPr>
          <w:rFonts w:ascii="Arial" w:hAnsi="Arial" w:cs="Arial"/>
          <w:szCs w:val="24"/>
        </w:rPr>
        <w:t>Indudablemente, la energía solar constituye una fuente energética renovable cuya promoción es acorde con los objetivos de reducción de emisiones impuestos por el Acuerdo de París y por la propia Unión Europea. Sin embargo, a pesar del evidente interés público al que sirven los parques eólicos, su ubicación debe responder a las previsiones normativas.</w:t>
      </w:r>
    </w:p>
    <w:p w14:paraId="658B0898" w14:textId="77777777" w:rsidR="00DB0375" w:rsidRPr="0050041D" w:rsidRDefault="00DB0375" w:rsidP="00DB0375">
      <w:pPr>
        <w:spacing w:after="120"/>
        <w:rPr>
          <w:rFonts w:ascii="Arial" w:hAnsi="Arial" w:cs="Arial"/>
          <w:szCs w:val="24"/>
        </w:rPr>
      </w:pPr>
      <w:r w:rsidRPr="0050041D">
        <w:rPr>
          <w:rFonts w:ascii="Arial" w:hAnsi="Arial" w:cs="Arial"/>
          <w:szCs w:val="24"/>
        </w:rPr>
        <w:t>Es aquí, en lo relativo al ordenamiento jurídico aplicable, donde entra en juego la normativa local sobre los bienes comunales.</w:t>
      </w:r>
    </w:p>
    <w:p w14:paraId="21D58BFB" w14:textId="77777777" w:rsidR="00DB0375" w:rsidRPr="0050041D" w:rsidRDefault="00DB0375" w:rsidP="00DB0375">
      <w:pPr>
        <w:pStyle w:val="Default"/>
        <w:spacing w:after="120" w:line="360" w:lineRule="auto"/>
        <w:jc w:val="both"/>
        <w:rPr>
          <w:rFonts w:ascii="Arial" w:hAnsi="Arial" w:cs="Arial"/>
          <w:color w:val="auto"/>
        </w:rPr>
      </w:pPr>
      <w:r w:rsidRPr="0050041D">
        <w:rPr>
          <w:rFonts w:ascii="Arial" w:hAnsi="Arial" w:cs="Arial"/>
          <w:color w:val="auto"/>
        </w:rPr>
        <w:t xml:space="preserve">La Asociación de Agricultores y Ganaderos de </w:t>
      </w:r>
      <w:r w:rsidRPr="0050041D">
        <w:rPr>
          <w:rFonts w:ascii="Arial" w:hAnsi="Arial" w:cs="Arial"/>
          <w:bCs/>
          <w:color w:val="auto"/>
        </w:rPr>
        <w:t xml:space="preserve">Paredes </w:t>
      </w:r>
      <w:r w:rsidRPr="0050041D">
        <w:rPr>
          <w:rFonts w:ascii="Arial" w:hAnsi="Arial" w:cs="Arial"/>
          <w:color w:val="auto"/>
        </w:rPr>
        <w:t xml:space="preserve">de </w:t>
      </w:r>
      <w:r w:rsidRPr="0050041D">
        <w:rPr>
          <w:rFonts w:ascii="Arial" w:hAnsi="Arial" w:cs="Arial"/>
          <w:bCs/>
          <w:color w:val="auto"/>
        </w:rPr>
        <w:t xml:space="preserve">Nava impugnó </w:t>
      </w:r>
      <w:r w:rsidRPr="0050041D">
        <w:rPr>
          <w:rFonts w:ascii="Arial" w:hAnsi="Arial" w:cs="Arial"/>
          <w:color w:val="auto"/>
        </w:rPr>
        <w:t xml:space="preserve">la Orden de la Consejería de la Presidencia (Junta de Castilla y León), de 11 de febrero de 2021, por la que se autorizaba el acotamiento de bienes comunales del Ayuntamiento de </w:t>
      </w:r>
      <w:r w:rsidRPr="0050041D">
        <w:rPr>
          <w:rFonts w:ascii="Arial" w:hAnsi="Arial" w:cs="Arial"/>
          <w:bCs/>
          <w:color w:val="auto"/>
        </w:rPr>
        <w:t xml:space="preserve">Paredes </w:t>
      </w:r>
      <w:r w:rsidRPr="0050041D">
        <w:rPr>
          <w:rFonts w:ascii="Arial" w:hAnsi="Arial" w:cs="Arial"/>
          <w:color w:val="auto"/>
        </w:rPr>
        <w:t xml:space="preserve">de </w:t>
      </w:r>
      <w:r w:rsidRPr="0050041D">
        <w:rPr>
          <w:rFonts w:ascii="Arial" w:hAnsi="Arial" w:cs="Arial"/>
          <w:bCs/>
          <w:color w:val="auto"/>
        </w:rPr>
        <w:t>Nava</w:t>
      </w:r>
      <w:r w:rsidRPr="0050041D">
        <w:rPr>
          <w:rFonts w:ascii="Arial" w:hAnsi="Arial" w:cs="Arial"/>
          <w:color w:val="auto"/>
        </w:rPr>
        <w:t xml:space="preserve"> y el propio Acuerdo del Pleno de dicho Ayuntamiento de fecha 27 de enero de 2021, desestimatorio de las alegaciones efectuadas por dicha asociación contra el Acuerdo del mismo Pleno de 14 de diciembre de 2020, que aprobó el acotamiento de los bienes comunales (460 hectáreas sobre un total de 948) del referido Ayuntamiento para su posible uso industrial y/o instalación de proyectos de energías renovables.</w:t>
      </w:r>
    </w:p>
    <w:p w14:paraId="66046BA1" w14:textId="6F42E098" w:rsidR="00CC15ED" w:rsidRPr="00740B4F" w:rsidRDefault="00DB0375" w:rsidP="00DB0375">
      <w:pPr>
        <w:rPr>
          <w:rFonts w:ascii="Arial" w:hAnsi="Arial"/>
          <w:lang w:val="fr-FR"/>
        </w:rPr>
      </w:pPr>
      <w:r w:rsidRPr="0050041D">
        <w:rPr>
          <w:rFonts w:ascii="Arial" w:hAnsi="Arial" w:cs="Arial"/>
        </w:rPr>
        <w:t>El citado acuerdo de acotamiento impugnado se apoyó en el art. 106 del Reglamento de Bienes de las Entidades Locales (RBEL), aprobado por RD 1372/1986, de 13 de junio, que establece</w:t>
      </w:r>
      <w:r>
        <w:rPr>
          <w:rFonts w:ascii="Arial" w:eastAsia="Times New Roman" w:hAnsi="Arial" w:cs="Arial"/>
          <w:b/>
          <w:bCs/>
          <w:lang w:eastAsia="es-ES"/>
        </w:rPr>
        <w:t>:</w:t>
      </w:r>
    </w:p>
    <w:p w14:paraId="52A1F8F2" w14:textId="75BC53EB" w:rsidR="00CC15ED" w:rsidRPr="00740B4F" w:rsidRDefault="00CC15ED" w:rsidP="00CC15ED">
      <w:pPr>
        <w:pStyle w:val="Cita"/>
        <w:rPr>
          <w:rFonts w:ascii="Arial" w:hAnsi="Arial"/>
          <w:lang w:val="es-ES_tradnl"/>
        </w:rPr>
      </w:pPr>
      <w:sdt>
        <w:sdtPr>
          <w:rPr>
            <w:rFonts w:ascii="Arial" w:hAnsi="Arial"/>
            <w:lang w:val="fr-FR"/>
          </w:rPr>
          <w:id w:val="-840232795"/>
          <w:placeholder>
            <w:docPart w:val="531E42E4BD7F4C6EB68C4F1A84AC9D89"/>
          </w:placeholder>
        </w:sdtPr>
        <w:sdtContent>
          <w:r w:rsidR="006A384E" w:rsidRPr="006A384E">
            <w:rPr>
              <w:rFonts w:ascii="Arial" w:hAnsi="Arial"/>
              <w:lang w:val="fr-FR"/>
            </w:rPr>
            <w:t xml:space="preserve">“Parte de los </w:t>
          </w:r>
          <w:proofErr w:type="spellStart"/>
          <w:r w:rsidR="006A384E" w:rsidRPr="006A384E">
            <w:rPr>
              <w:rFonts w:ascii="Arial" w:hAnsi="Arial"/>
              <w:lang w:val="fr-FR"/>
            </w:rPr>
            <w:t>bienes</w:t>
          </w:r>
          <w:proofErr w:type="spellEnd"/>
          <w:r w:rsidR="006A384E" w:rsidRPr="006A384E">
            <w:rPr>
              <w:rFonts w:ascii="Arial" w:hAnsi="Arial"/>
              <w:lang w:val="fr-FR"/>
            </w:rPr>
            <w:t xml:space="preserve"> </w:t>
          </w:r>
          <w:proofErr w:type="spellStart"/>
          <w:r w:rsidR="006A384E" w:rsidRPr="006A384E">
            <w:rPr>
              <w:rFonts w:ascii="Arial" w:hAnsi="Arial"/>
              <w:lang w:val="fr-FR"/>
            </w:rPr>
            <w:t>comunales</w:t>
          </w:r>
          <w:proofErr w:type="spellEnd"/>
          <w:r w:rsidR="006A384E" w:rsidRPr="006A384E">
            <w:rPr>
              <w:rFonts w:ascii="Arial" w:hAnsi="Arial"/>
              <w:lang w:val="fr-FR"/>
            </w:rPr>
            <w:t xml:space="preserve"> </w:t>
          </w:r>
          <w:proofErr w:type="spellStart"/>
          <w:r w:rsidR="006A384E" w:rsidRPr="006A384E">
            <w:rPr>
              <w:rFonts w:ascii="Arial" w:hAnsi="Arial"/>
              <w:lang w:val="fr-FR"/>
            </w:rPr>
            <w:t>podrá</w:t>
          </w:r>
          <w:proofErr w:type="spellEnd"/>
          <w:r w:rsidR="006A384E" w:rsidRPr="006A384E">
            <w:rPr>
              <w:rFonts w:ascii="Arial" w:hAnsi="Arial"/>
              <w:lang w:val="fr-FR"/>
            </w:rPr>
            <w:t xml:space="preserve"> </w:t>
          </w:r>
          <w:proofErr w:type="spellStart"/>
          <w:r w:rsidR="006A384E" w:rsidRPr="006A384E">
            <w:rPr>
              <w:rFonts w:ascii="Arial" w:hAnsi="Arial"/>
              <w:lang w:val="fr-FR"/>
            </w:rPr>
            <w:t>ser</w:t>
          </w:r>
          <w:proofErr w:type="spellEnd"/>
          <w:r w:rsidR="006A384E" w:rsidRPr="006A384E">
            <w:rPr>
              <w:rFonts w:ascii="Arial" w:hAnsi="Arial"/>
              <w:lang w:val="fr-FR"/>
            </w:rPr>
            <w:t xml:space="preserve"> </w:t>
          </w:r>
          <w:proofErr w:type="spellStart"/>
          <w:r w:rsidR="006A384E" w:rsidRPr="006A384E">
            <w:rPr>
              <w:rFonts w:ascii="Arial" w:hAnsi="Arial"/>
              <w:lang w:val="fr-FR"/>
            </w:rPr>
            <w:t>acotada</w:t>
          </w:r>
          <w:proofErr w:type="spellEnd"/>
          <w:r w:rsidR="006A384E" w:rsidRPr="006A384E">
            <w:rPr>
              <w:rFonts w:ascii="Arial" w:hAnsi="Arial"/>
              <w:lang w:val="fr-FR"/>
            </w:rPr>
            <w:t xml:space="preserve"> para fines </w:t>
          </w:r>
          <w:proofErr w:type="spellStart"/>
          <w:r w:rsidR="006A384E" w:rsidRPr="006A384E">
            <w:rPr>
              <w:rFonts w:ascii="Arial" w:hAnsi="Arial"/>
              <w:lang w:val="fr-FR"/>
            </w:rPr>
            <w:t>específicos</w:t>
          </w:r>
          <w:proofErr w:type="spellEnd"/>
          <w:r w:rsidR="006A384E" w:rsidRPr="006A384E">
            <w:rPr>
              <w:rFonts w:ascii="Arial" w:hAnsi="Arial"/>
              <w:lang w:val="fr-FR"/>
            </w:rPr>
            <w:t xml:space="preserve">, tales </w:t>
          </w:r>
          <w:proofErr w:type="spellStart"/>
          <w:r w:rsidR="006A384E" w:rsidRPr="006A384E">
            <w:rPr>
              <w:rFonts w:ascii="Arial" w:hAnsi="Arial"/>
              <w:lang w:val="fr-FR"/>
            </w:rPr>
            <w:t>como</w:t>
          </w:r>
          <w:proofErr w:type="spellEnd"/>
          <w:r w:rsidR="006A384E" w:rsidRPr="006A384E">
            <w:rPr>
              <w:rFonts w:ascii="Arial" w:hAnsi="Arial"/>
              <w:lang w:val="fr-FR"/>
            </w:rPr>
            <w:t xml:space="preserve"> </w:t>
          </w:r>
          <w:proofErr w:type="spellStart"/>
          <w:r w:rsidR="006A384E" w:rsidRPr="006A384E">
            <w:rPr>
              <w:rFonts w:ascii="Arial" w:hAnsi="Arial"/>
              <w:lang w:val="fr-FR"/>
            </w:rPr>
            <w:t>enseñanza</w:t>
          </w:r>
          <w:proofErr w:type="spellEnd"/>
          <w:r w:rsidR="006A384E" w:rsidRPr="006A384E">
            <w:rPr>
              <w:rFonts w:ascii="Arial" w:hAnsi="Arial"/>
              <w:lang w:val="fr-FR"/>
            </w:rPr>
            <w:t xml:space="preserve">, </w:t>
          </w:r>
          <w:proofErr w:type="spellStart"/>
          <w:r w:rsidR="006A384E" w:rsidRPr="006A384E">
            <w:rPr>
              <w:rFonts w:ascii="Arial" w:hAnsi="Arial"/>
              <w:lang w:val="fr-FR"/>
            </w:rPr>
            <w:t>recreo</w:t>
          </w:r>
          <w:proofErr w:type="spellEnd"/>
          <w:r w:rsidR="006A384E" w:rsidRPr="006A384E">
            <w:rPr>
              <w:rFonts w:ascii="Arial" w:hAnsi="Arial"/>
              <w:lang w:val="fr-FR"/>
            </w:rPr>
            <w:t xml:space="preserve"> </w:t>
          </w:r>
          <w:proofErr w:type="spellStart"/>
          <w:r w:rsidR="006A384E" w:rsidRPr="006A384E">
            <w:rPr>
              <w:rFonts w:ascii="Arial" w:hAnsi="Arial"/>
              <w:lang w:val="fr-FR"/>
            </w:rPr>
            <w:t>escolar</w:t>
          </w:r>
          <w:proofErr w:type="spellEnd"/>
          <w:r w:rsidR="006A384E" w:rsidRPr="006A384E">
            <w:rPr>
              <w:rFonts w:ascii="Arial" w:hAnsi="Arial"/>
              <w:lang w:val="fr-FR"/>
            </w:rPr>
            <w:t xml:space="preserve">, </w:t>
          </w:r>
          <w:proofErr w:type="spellStart"/>
          <w:r w:rsidR="006A384E" w:rsidRPr="006A384E">
            <w:rPr>
              <w:rFonts w:ascii="Arial" w:hAnsi="Arial"/>
              <w:lang w:val="fr-FR"/>
            </w:rPr>
            <w:t>caza</w:t>
          </w:r>
          <w:proofErr w:type="spellEnd"/>
          <w:r w:rsidR="006A384E" w:rsidRPr="006A384E">
            <w:rPr>
              <w:rFonts w:ascii="Arial" w:hAnsi="Arial"/>
              <w:lang w:val="fr-FR"/>
            </w:rPr>
            <w:t xml:space="preserve"> o </w:t>
          </w:r>
          <w:proofErr w:type="spellStart"/>
          <w:r w:rsidR="006A384E" w:rsidRPr="006A384E">
            <w:rPr>
              <w:rFonts w:ascii="Arial" w:hAnsi="Arial"/>
              <w:lang w:val="fr-FR"/>
            </w:rPr>
            <w:t>auxilio</w:t>
          </w:r>
          <w:proofErr w:type="spellEnd"/>
          <w:r w:rsidR="006A384E" w:rsidRPr="006A384E">
            <w:rPr>
              <w:rFonts w:ascii="Arial" w:hAnsi="Arial"/>
              <w:lang w:val="fr-FR"/>
            </w:rPr>
            <w:t xml:space="preserve"> a los </w:t>
          </w:r>
          <w:proofErr w:type="spellStart"/>
          <w:r w:rsidR="006A384E" w:rsidRPr="006A384E">
            <w:rPr>
              <w:rFonts w:ascii="Arial" w:hAnsi="Arial"/>
              <w:lang w:val="fr-FR"/>
            </w:rPr>
            <w:t>vecinos</w:t>
          </w:r>
          <w:proofErr w:type="spellEnd"/>
          <w:r w:rsidR="006A384E" w:rsidRPr="006A384E">
            <w:rPr>
              <w:rFonts w:ascii="Arial" w:hAnsi="Arial"/>
              <w:lang w:val="fr-FR"/>
            </w:rPr>
            <w:t xml:space="preserve"> </w:t>
          </w:r>
          <w:proofErr w:type="spellStart"/>
          <w:r w:rsidR="006A384E" w:rsidRPr="006A384E">
            <w:rPr>
              <w:rFonts w:ascii="Arial" w:hAnsi="Arial"/>
              <w:lang w:val="fr-FR"/>
            </w:rPr>
            <w:t>necesitados</w:t>
          </w:r>
          <w:proofErr w:type="spellEnd"/>
          <w:r w:rsidR="006A384E" w:rsidRPr="006A384E">
            <w:rPr>
              <w:rFonts w:ascii="Arial" w:hAnsi="Arial"/>
              <w:lang w:val="fr-FR"/>
            </w:rPr>
            <w:t xml:space="preserve">. La </w:t>
          </w:r>
          <w:proofErr w:type="spellStart"/>
          <w:r w:rsidR="006A384E" w:rsidRPr="006A384E">
            <w:rPr>
              <w:rFonts w:ascii="Arial" w:hAnsi="Arial"/>
              <w:lang w:val="fr-FR"/>
            </w:rPr>
            <w:t>extensión</w:t>
          </w:r>
          <w:proofErr w:type="spellEnd"/>
          <w:r w:rsidR="006A384E" w:rsidRPr="006A384E">
            <w:rPr>
              <w:rFonts w:ascii="Arial" w:hAnsi="Arial"/>
              <w:lang w:val="fr-FR"/>
            </w:rPr>
            <w:t xml:space="preserve"> de </w:t>
          </w:r>
          <w:proofErr w:type="spellStart"/>
          <w:r w:rsidR="006A384E" w:rsidRPr="006A384E">
            <w:rPr>
              <w:rFonts w:ascii="Arial" w:hAnsi="Arial"/>
              <w:lang w:val="fr-FR"/>
            </w:rPr>
            <w:t>dichos</w:t>
          </w:r>
          <w:proofErr w:type="spellEnd"/>
          <w:r w:rsidR="006A384E" w:rsidRPr="006A384E">
            <w:rPr>
              <w:rFonts w:ascii="Arial" w:hAnsi="Arial"/>
              <w:lang w:val="fr-FR"/>
            </w:rPr>
            <w:t xml:space="preserve"> </w:t>
          </w:r>
          <w:proofErr w:type="spellStart"/>
          <w:r w:rsidR="006A384E" w:rsidRPr="006A384E">
            <w:rPr>
              <w:rFonts w:ascii="Arial" w:hAnsi="Arial"/>
              <w:lang w:val="fr-FR"/>
            </w:rPr>
            <w:t>cotos</w:t>
          </w:r>
          <w:proofErr w:type="spellEnd"/>
          <w:r w:rsidR="006A384E" w:rsidRPr="006A384E">
            <w:rPr>
              <w:rFonts w:ascii="Arial" w:hAnsi="Arial"/>
              <w:lang w:val="fr-FR"/>
            </w:rPr>
            <w:t xml:space="preserve"> y su </w:t>
          </w:r>
          <w:proofErr w:type="spellStart"/>
          <w:r w:rsidR="006A384E" w:rsidRPr="006A384E">
            <w:rPr>
              <w:rFonts w:ascii="Arial" w:hAnsi="Arial"/>
              <w:lang w:val="fr-FR"/>
            </w:rPr>
            <w:t>régimen</w:t>
          </w:r>
          <w:proofErr w:type="spellEnd"/>
          <w:r w:rsidR="006A384E" w:rsidRPr="006A384E">
            <w:rPr>
              <w:rFonts w:ascii="Arial" w:hAnsi="Arial"/>
              <w:lang w:val="fr-FR"/>
            </w:rPr>
            <w:t xml:space="preserve"> </w:t>
          </w:r>
          <w:proofErr w:type="spellStart"/>
          <w:r w:rsidR="006A384E" w:rsidRPr="006A384E">
            <w:rPr>
              <w:rFonts w:ascii="Arial" w:hAnsi="Arial"/>
              <w:lang w:val="fr-FR"/>
            </w:rPr>
            <w:t>jurídico</w:t>
          </w:r>
          <w:proofErr w:type="spellEnd"/>
          <w:r w:rsidR="006A384E" w:rsidRPr="006A384E">
            <w:rPr>
              <w:rFonts w:ascii="Arial" w:hAnsi="Arial"/>
              <w:lang w:val="fr-FR"/>
            </w:rPr>
            <w:t xml:space="preserve"> </w:t>
          </w:r>
          <w:proofErr w:type="spellStart"/>
          <w:r w:rsidR="006A384E" w:rsidRPr="006A384E">
            <w:rPr>
              <w:rFonts w:ascii="Arial" w:hAnsi="Arial"/>
              <w:lang w:val="fr-FR"/>
            </w:rPr>
            <w:t>peculiar</w:t>
          </w:r>
          <w:proofErr w:type="spellEnd"/>
          <w:r w:rsidR="006A384E" w:rsidRPr="006A384E">
            <w:rPr>
              <w:rFonts w:ascii="Arial" w:hAnsi="Arial"/>
              <w:lang w:val="fr-FR"/>
            </w:rPr>
            <w:t xml:space="preserve"> </w:t>
          </w:r>
          <w:proofErr w:type="spellStart"/>
          <w:r w:rsidR="006A384E" w:rsidRPr="006A384E">
            <w:rPr>
              <w:rFonts w:ascii="Arial" w:hAnsi="Arial"/>
              <w:lang w:val="fr-FR"/>
            </w:rPr>
            <w:t>deberá</w:t>
          </w:r>
          <w:proofErr w:type="spellEnd"/>
          <w:r w:rsidR="006A384E" w:rsidRPr="006A384E">
            <w:rPr>
              <w:rFonts w:ascii="Arial" w:hAnsi="Arial"/>
              <w:lang w:val="fr-FR"/>
            </w:rPr>
            <w:t xml:space="preserve"> </w:t>
          </w:r>
          <w:proofErr w:type="spellStart"/>
          <w:r w:rsidR="006A384E" w:rsidRPr="006A384E">
            <w:rPr>
              <w:rFonts w:ascii="Arial" w:hAnsi="Arial"/>
              <w:lang w:val="fr-FR"/>
            </w:rPr>
            <w:t>ajustarse</w:t>
          </w:r>
          <w:proofErr w:type="spellEnd"/>
          <w:r w:rsidR="006A384E" w:rsidRPr="006A384E">
            <w:rPr>
              <w:rFonts w:ascii="Arial" w:hAnsi="Arial"/>
              <w:lang w:val="fr-FR"/>
            </w:rPr>
            <w:t xml:space="preserve"> a las </w:t>
          </w:r>
          <w:proofErr w:type="spellStart"/>
          <w:r w:rsidR="006A384E" w:rsidRPr="006A384E">
            <w:rPr>
              <w:rFonts w:ascii="Arial" w:hAnsi="Arial"/>
              <w:lang w:val="fr-FR"/>
            </w:rPr>
            <w:t>previsiones</w:t>
          </w:r>
          <w:proofErr w:type="spellEnd"/>
          <w:r w:rsidR="006A384E" w:rsidRPr="006A384E">
            <w:rPr>
              <w:rFonts w:ascii="Arial" w:hAnsi="Arial"/>
              <w:lang w:val="fr-FR"/>
            </w:rPr>
            <w:t xml:space="preserve"> de la </w:t>
          </w:r>
          <w:proofErr w:type="spellStart"/>
          <w:r w:rsidR="006A384E" w:rsidRPr="006A384E">
            <w:rPr>
              <w:rFonts w:ascii="Arial" w:hAnsi="Arial"/>
              <w:lang w:val="fr-FR"/>
            </w:rPr>
            <w:t>legislación</w:t>
          </w:r>
          <w:proofErr w:type="spellEnd"/>
          <w:r w:rsidR="006A384E" w:rsidRPr="006A384E">
            <w:rPr>
              <w:rFonts w:ascii="Arial" w:hAnsi="Arial"/>
              <w:lang w:val="fr-FR"/>
            </w:rPr>
            <w:t xml:space="preserve"> </w:t>
          </w:r>
          <w:proofErr w:type="spellStart"/>
          <w:r w:rsidR="006A384E" w:rsidRPr="006A384E">
            <w:rPr>
              <w:rFonts w:ascii="Arial" w:hAnsi="Arial"/>
              <w:lang w:val="fr-FR"/>
            </w:rPr>
            <w:t>sectorial</w:t>
          </w:r>
          <w:proofErr w:type="spellEnd"/>
          <w:r w:rsidR="006A384E" w:rsidRPr="006A384E">
            <w:rPr>
              <w:rFonts w:ascii="Arial" w:hAnsi="Arial"/>
              <w:lang w:val="fr-FR"/>
            </w:rPr>
            <w:t xml:space="preserve"> </w:t>
          </w:r>
          <w:proofErr w:type="spellStart"/>
          <w:r w:rsidR="006A384E" w:rsidRPr="006A384E">
            <w:rPr>
              <w:rFonts w:ascii="Arial" w:hAnsi="Arial"/>
              <w:lang w:val="fr-FR"/>
            </w:rPr>
            <w:t>aplicable</w:t>
          </w:r>
          <w:proofErr w:type="spellEnd"/>
          <w:r w:rsidR="006A384E" w:rsidRPr="006A384E">
            <w:rPr>
              <w:rFonts w:ascii="Arial" w:hAnsi="Arial"/>
              <w:lang w:val="fr-FR"/>
            </w:rPr>
            <w:t>”</w:t>
          </w:r>
        </w:sdtContent>
      </w:sdt>
      <w:r w:rsidR="006A384E">
        <w:rPr>
          <w:rFonts w:ascii="Arial" w:hAnsi="Arial"/>
          <w:lang w:val="es-ES_tradnl"/>
        </w:rPr>
        <w:t>.</w:t>
      </w:r>
    </w:p>
    <w:p w14:paraId="3E4C07FD" w14:textId="77777777" w:rsidR="0007105C" w:rsidRPr="0050041D" w:rsidRDefault="0007105C" w:rsidP="0007105C">
      <w:pPr>
        <w:pStyle w:val="Default"/>
        <w:spacing w:after="120" w:line="360" w:lineRule="auto"/>
        <w:jc w:val="both"/>
        <w:rPr>
          <w:rFonts w:ascii="Arial" w:hAnsi="Arial" w:cs="Arial"/>
          <w:color w:val="auto"/>
        </w:rPr>
      </w:pPr>
      <w:r w:rsidRPr="0050041D">
        <w:rPr>
          <w:rFonts w:ascii="Arial" w:hAnsi="Arial" w:cs="Arial"/>
          <w:color w:val="auto"/>
        </w:rPr>
        <w:lastRenderedPageBreak/>
        <w:t xml:space="preserve">La Sala estima totalmente la pretensión de la Asociación de Ganaderos y Agricultores, después de rechazar las causas de inadmisibilidad. Y lo hace con exclusivo apoyo en la normativa local aplicable al caso. </w:t>
      </w:r>
      <w:r w:rsidRPr="0050041D">
        <w:rPr>
          <w:rFonts w:ascii="Arial" w:hAnsi="Arial" w:cs="Arial"/>
          <w:color w:val="auto"/>
        </w:rPr>
        <w:tab/>
        <w:t>El</w:t>
      </w:r>
      <w:r>
        <w:rPr>
          <w:rFonts w:ascii="Arial" w:hAnsi="Arial" w:cs="Arial"/>
          <w:color w:val="auto"/>
        </w:rPr>
        <w:t xml:space="preserve"> </w:t>
      </w:r>
      <w:r w:rsidRPr="0050041D">
        <w:rPr>
          <w:rFonts w:ascii="Arial" w:hAnsi="Arial" w:cs="Arial"/>
          <w:color w:val="auto"/>
        </w:rPr>
        <w:t xml:space="preserve">citado Reglamento de Bienes contiene otro precepto, específicamente referido a la prelación de las posibilidades de aprovechamiento de los bienes comunales, que debe tenerse en cuenta en todo lo que se refiere a su aprovechamiento (art.94), que sintetiza el orden taxativo de estas posibilidades incluido en el art. 75 del Texto Refundido de Régimen Local: “1º En régimen de explotación colectiva o comunal. 2. Cuando este aprovechamiento y disfrute general simultáneo de bienes comunales fuere </w:t>
      </w:r>
      <w:r w:rsidRPr="0050041D">
        <w:rPr>
          <w:rFonts w:ascii="Arial" w:hAnsi="Arial" w:cs="Arial"/>
          <w:i/>
          <w:iCs/>
          <w:color w:val="auto"/>
        </w:rPr>
        <w:t>impracticable</w:t>
      </w:r>
      <w:r w:rsidRPr="0050041D">
        <w:rPr>
          <w:rFonts w:ascii="Arial" w:hAnsi="Arial" w:cs="Arial"/>
          <w:color w:val="auto"/>
        </w:rPr>
        <w:t xml:space="preserve">, rige la costumbre u Ordenanza local, al respecto y, en su defecto, se efectuarán adjudicaciones de lotes o suertes a los vecinos, en proporción directa al número de familiares a su cargo e inversa a su situación económica. 3. Si esta forma de aprovechamiento y disfrute </w:t>
      </w:r>
      <w:r w:rsidRPr="0050041D">
        <w:rPr>
          <w:rFonts w:ascii="Arial" w:hAnsi="Arial" w:cs="Arial"/>
          <w:i/>
          <w:iCs/>
          <w:color w:val="auto"/>
        </w:rPr>
        <w:t>fuere imposible</w:t>
      </w:r>
      <w:r w:rsidRPr="0050041D">
        <w:rPr>
          <w:rFonts w:ascii="Arial" w:hAnsi="Arial" w:cs="Arial"/>
          <w:color w:val="auto"/>
        </w:rPr>
        <w:t>, el órgano competente de la Comunidad Autónoma puede autorizar su adjudicación en pública subasta, mediante precio, dando preferencia en igualdad de condiciones a los postores que sean vecinos”.</w:t>
      </w:r>
    </w:p>
    <w:p w14:paraId="05DB4C0E" w14:textId="77777777" w:rsidR="0007105C" w:rsidRPr="0050041D" w:rsidRDefault="0007105C" w:rsidP="0007105C">
      <w:pPr>
        <w:pStyle w:val="Default"/>
        <w:spacing w:after="120" w:line="360" w:lineRule="auto"/>
        <w:jc w:val="both"/>
        <w:rPr>
          <w:rFonts w:ascii="Arial" w:hAnsi="Arial" w:cs="Arial"/>
          <w:color w:val="auto"/>
        </w:rPr>
      </w:pPr>
      <w:r w:rsidRPr="0050041D">
        <w:rPr>
          <w:rFonts w:ascii="Arial" w:hAnsi="Arial" w:cs="Arial"/>
          <w:color w:val="auto"/>
        </w:rPr>
        <w:t>Por lo tanto, el acotamiento de los bienes comunales –perfectamente posible- no puede infringir el orden de prelación de usos contenido en el art. 75 del Texto Refundido de Régimen Local y en el RBEL.</w:t>
      </w:r>
    </w:p>
    <w:p w14:paraId="49017214" w14:textId="77777777" w:rsidR="0007105C" w:rsidRPr="0050041D" w:rsidRDefault="0007105C" w:rsidP="0007105C">
      <w:pPr>
        <w:pStyle w:val="Default"/>
        <w:spacing w:after="120" w:line="360" w:lineRule="auto"/>
        <w:jc w:val="both"/>
        <w:rPr>
          <w:rFonts w:ascii="Arial" w:hAnsi="Arial" w:cs="Arial"/>
          <w:color w:val="auto"/>
        </w:rPr>
      </w:pPr>
      <w:r w:rsidRPr="0050041D">
        <w:rPr>
          <w:rFonts w:ascii="Arial" w:hAnsi="Arial" w:cs="Arial"/>
          <w:color w:val="auto"/>
        </w:rPr>
        <w:t xml:space="preserve">El acotamiento para su adjudicación por precio para usos industriales solo sería posible, por tanto, si no cabe el disfrute colectivo, si tampoco cabe el aprovechamiento peculiar según la costumbre o el reglamento local y si tampoco cabe la adjudicación por lotes o suertes. Pero la realidad muestra –y así consta en autos- que el aprovechamiento agrícola se venía efectuando desde tiempo inmemorial con arreglo a la costumbre y la Ordenanza municipal de 8 de julio de 2016, mediante adjudicaciones por lotes o suertes de toda la superficie del bien comunal de que se trata teniendo en cuenta criterios de capacidad económica de los beneficiarios y el número de personas a su cargo. Por lo tanto, no cabe su adjudicación por precio porque no se cumplen las condiciones previas. Y lógicamente, su acotamiento no se ajusta a las previsiones del art. 106. </w:t>
      </w:r>
    </w:p>
    <w:p w14:paraId="711784E8" w14:textId="5F94C37D" w:rsidR="00CC15ED" w:rsidRPr="00740B4F" w:rsidRDefault="0007105C" w:rsidP="0007105C">
      <w:pPr>
        <w:rPr>
          <w:rFonts w:ascii="Arial" w:hAnsi="Arial"/>
          <w:lang w:val="fr-FR"/>
        </w:rPr>
      </w:pPr>
      <w:r w:rsidRPr="0050041D">
        <w:rPr>
          <w:rFonts w:ascii="Arial" w:hAnsi="Arial" w:cs="Arial"/>
        </w:rPr>
        <w:lastRenderedPageBreak/>
        <w:t xml:space="preserve">Además, tampoco se dan las condiciones exigidas para convertir en patrimoniales estos bienes comunales: el art. Art. 78.1 TRRL (y el 99 RBEL) establece: </w:t>
      </w:r>
    </w:p>
    <w:p w14:paraId="2E52AC0C" w14:textId="61356171" w:rsidR="00CC15ED" w:rsidRPr="00740B4F" w:rsidRDefault="00CC15ED" w:rsidP="00CC15ED">
      <w:pPr>
        <w:pStyle w:val="Cita"/>
        <w:rPr>
          <w:rFonts w:ascii="Arial" w:hAnsi="Arial"/>
          <w:lang w:val="es-ES_tradnl"/>
        </w:rPr>
      </w:pPr>
      <w:sdt>
        <w:sdtPr>
          <w:rPr>
            <w:rFonts w:ascii="Arial" w:hAnsi="Arial"/>
            <w:lang w:val="fr-FR"/>
          </w:rPr>
          <w:id w:val="-2048600898"/>
          <w:placeholder>
            <w:docPart w:val="A8025E848A28480AB81D62F643037B77"/>
          </w:placeholder>
        </w:sdtPr>
        <w:sdtContent>
          <w:r w:rsidR="0076232D" w:rsidRPr="0076232D">
            <w:rPr>
              <w:rFonts w:ascii="Arial" w:hAnsi="Arial"/>
              <w:lang w:val="fr-FR"/>
            </w:rPr>
            <w:t xml:space="preserve">“Los </w:t>
          </w:r>
          <w:proofErr w:type="spellStart"/>
          <w:r w:rsidR="0076232D" w:rsidRPr="0076232D">
            <w:rPr>
              <w:rFonts w:ascii="Arial" w:hAnsi="Arial"/>
              <w:lang w:val="fr-FR"/>
            </w:rPr>
            <w:t>bienes</w:t>
          </w:r>
          <w:proofErr w:type="spellEnd"/>
          <w:r w:rsidR="0076232D" w:rsidRPr="0076232D">
            <w:rPr>
              <w:rFonts w:ascii="Arial" w:hAnsi="Arial"/>
              <w:lang w:val="fr-FR"/>
            </w:rPr>
            <w:t xml:space="preserve"> </w:t>
          </w:r>
          <w:proofErr w:type="spellStart"/>
          <w:r w:rsidR="0076232D" w:rsidRPr="0076232D">
            <w:rPr>
              <w:rFonts w:ascii="Arial" w:hAnsi="Arial"/>
              <w:lang w:val="fr-FR"/>
            </w:rPr>
            <w:t>comunales</w:t>
          </w:r>
          <w:proofErr w:type="spellEnd"/>
          <w:r w:rsidR="0076232D" w:rsidRPr="0076232D">
            <w:rPr>
              <w:rFonts w:ascii="Arial" w:hAnsi="Arial"/>
              <w:lang w:val="fr-FR"/>
            </w:rPr>
            <w:t xml:space="preserve"> que </w:t>
          </w:r>
          <w:proofErr w:type="spellStart"/>
          <w:r w:rsidR="0076232D" w:rsidRPr="0076232D">
            <w:rPr>
              <w:rFonts w:ascii="Arial" w:hAnsi="Arial"/>
              <w:lang w:val="fr-FR"/>
            </w:rPr>
            <w:t>por</w:t>
          </w:r>
          <w:proofErr w:type="spellEnd"/>
          <w:r w:rsidR="0076232D" w:rsidRPr="0076232D">
            <w:rPr>
              <w:rFonts w:ascii="Arial" w:hAnsi="Arial"/>
              <w:lang w:val="fr-FR"/>
            </w:rPr>
            <w:t xml:space="preserve"> su </w:t>
          </w:r>
          <w:proofErr w:type="spellStart"/>
          <w:r w:rsidR="0076232D" w:rsidRPr="0076232D">
            <w:rPr>
              <w:rFonts w:ascii="Arial" w:hAnsi="Arial"/>
              <w:lang w:val="fr-FR"/>
            </w:rPr>
            <w:t>naturaleza</w:t>
          </w:r>
          <w:proofErr w:type="spellEnd"/>
          <w:r w:rsidR="0076232D" w:rsidRPr="0076232D">
            <w:rPr>
              <w:rFonts w:ascii="Arial" w:hAnsi="Arial"/>
              <w:lang w:val="fr-FR"/>
            </w:rPr>
            <w:t xml:space="preserve"> </w:t>
          </w:r>
          <w:proofErr w:type="spellStart"/>
          <w:r w:rsidR="0076232D" w:rsidRPr="0076232D">
            <w:rPr>
              <w:rFonts w:ascii="Arial" w:hAnsi="Arial"/>
              <w:lang w:val="fr-FR"/>
            </w:rPr>
            <w:t>intrínseca</w:t>
          </w:r>
          <w:proofErr w:type="spellEnd"/>
          <w:r w:rsidR="0076232D" w:rsidRPr="0076232D">
            <w:rPr>
              <w:rFonts w:ascii="Arial" w:hAnsi="Arial"/>
              <w:lang w:val="fr-FR"/>
            </w:rPr>
            <w:t xml:space="preserve"> o </w:t>
          </w:r>
          <w:proofErr w:type="spellStart"/>
          <w:r w:rsidR="0076232D" w:rsidRPr="0076232D">
            <w:rPr>
              <w:rFonts w:ascii="Arial" w:hAnsi="Arial"/>
              <w:lang w:val="fr-FR"/>
            </w:rPr>
            <w:t>por</w:t>
          </w:r>
          <w:proofErr w:type="spellEnd"/>
          <w:r w:rsidR="0076232D" w:rsidRPr="0076232D">
            <w:rPr>
              <w:rFonts w:ascii="Arial" w:hAnsi="Arial"/>
              <w:lang w:val="fr-FR"/>
            </w:rPr>
            <w:t xml:space="preserve"> </w:t>
          </w:r>
          <w:proofErr w:type="spellStart"/>
          <w:r w:rsidR="0076232D" w:rsidRPr="0076232D">
            <w:rPr>
              <w:rFonts w:ascii="Arial" w:hAnsi="Arial"/>
              <w:lang w:val="fr-FR"/>
            </w:rPr>
            <w:t>otras</w:t>
          </w:r>
          <w:proofErr w:type="spellEnd"/>
          <w:r w:rsidR="0076232D" w:rsidRPr="0076232D">
            <w:rPr>
              <w:rFonts w:ascii="Arial" w:hAnsi="Arial"/>
              <w:lang w:val="fr-FR"/>
            </w:rPr>
            <w:t xml:space="preserve"> causas, no </w:t>
          </w:r>
          <w:proofErr w:type="spellStart"/>
          <w:r w:rsidR="0076232D" w:rsidRPr="0076232D">
            <w:rPr>
              <w:rFonts w:ascii="Arial" w:hAnsi="Arial"/>
              <w:lang w:val="fr-FR"/>
            </w:rPr>
            <w:t>hubieren</w:t>
          </w:r>
          <w:proofErr w:type="spellEnd"/>
          <w:r w:rsidR="0076232D" w:rsidRPr="0076232D">
            <w:rPr>
              <w:rFonts w:ascii="Arial" w:hAnsi="Arial"/>
              <w:lang w:val="fr-FR"/>
            </w:rPr>
            <w:t xml:space="preserve"> </w:t>
          </w:r>
          <w:proofErr w:type="spellStart"/>
          <w:r w:rsidR="0076232D" w:rsidRPr="0076232D">
            <w:rPr>
              <w:rFonts w:ascii="Arial" w:hAnsi="Arial"/>
              <w:lang w:val="fr-FR"/>
            </w:rPr>
            <w:t>sido</w:t>
          </w:r>
          <w:proofErr w:type="spellEnd"/>
          <w:r w:rsidR="0076232D" w:rsidRPr="0076232D">
            <w:rPr>
              <w:rFonts w:ascii="Arial" w:hAnsi="Arial"/>
              <w:lang w:val="fr-FR"/>
            </w:rPr>
            <w:t xml:space="preserve"> </w:t>
          </w:r>
          <w:proofErr w:type="spellStart"/>
          <w:r w:rsidR="0076232D" w:rsidRPr="0076232D">
            <w:rPr>
              <w:rFonts w:ascii="Arial" w:hAnsi="Arial"/>
              <w:lang w:val="fr-FR"/>
            </w:rPr>
            <w:t>objeto</w:t>
          </w:r>
          <w:proofErr w:type="spellEnd"/>
          <w:r w:rsidR="0076232D" w:rsidRPr="0076232D">
            <w:rPr>
              <w:rFonts w:ascii="Arial" w:hAnsi="Arial"/>
              <w:lang w:val="fr-FR"/>
            </w:rPr>
            <w:t xml:space="preserve"> de </w:t>
          </w:r>
          <w:proofErr w:type="spellStart"/>
          <w:r w:rsidR="0076232D" w:rsidRPr="0076232D">
            <w:rPr>
              <w:rFonts w:ascii="Arial" w:hAnsi="Arial"/>
              <w:lang w:val="fr-FR"/>
            </w:rPr>
            <w:t>disfrute</w:t>
          </w:r>
          <w:proofErr w:type="spellEnd"/>
          <w:r w:rsidR="0076232D" w:rsidRPr="0076232D">
            <w:rPr>
              <w:rFonts w:ascii="Arial" w:hAnsi="Arial"/>
              <w:lang w:val="fr-FR"/>
            </w:rPr>
            <w:t xml:space="preserve"> de </w:t>
          </w:r>
          <w:proofErr w:type="spellStart"/>
          <w:r w:rsidR="0076232D" w:rsidRPr="0076232D">
            <w:rPr>
              <w:rFonts w:ascii="Arial" w:hAnsi="Arial"/>
              <w:lang w:val="fr-FR"/>
            </w:rPr>
            <w:t>esta</w:t>
          </w:r>
          <w:proofErr w:type="spellEnd"/>
          <w:r w:rsidR="0076232D" w:rsidRPr="0076232D">
            <w:rPr>
              <w:rFonts w:ascii="Arial" w:hAnsi="Arial"/>
              <w:lang w:val="fr-FR"/>
            </w:rPr>
            <w:t xml:space="preserve"> </w:t>
          </w:r>
          <w:proofErr w:type="spellStart"/>
          <w:r w:rsidR="0076232D" w:rsidRPr="0076232D">
            <w:rPr>
              <w:rFonts w:ascii="Arial" w:hAnsi="Arial"/>
              <w:lang w:val="fr-FR"/>
            </w:rPr>
            <w:t>índole</w:t>
          </w:r>
          <w:proofErr w:type="spellEnd"/>
          <w:r w:rsidR="0076232D" w:rsidRPr="0076232D">
            <w:rPr>
              <w:rFonts w:ascii="Arial" w:hAnsi="Arial"/>
              <w:lang w:val="fr-FR"/>
            </w:rPr>
            <w:t xml:space="preserve"> </w:t>
          </w:r>
          <w:proofErr w:type="spellStart"/>
          <w:r w:rsidR="0076232D" w:rsidRPr="0076232D">
            <w:rPr>
              <w:rFonts w:ascii="Arial" w:hAnsi="Arial"/>
              <w:lang w:val="fr-FR"/>
            </w:rPr>
            <w:t>durante</w:t>
          </w:r>
          <w:proofErr w:type="spellEnd"/>
          <w:r w:rsidR="0076232D" w:rsidRPr="0076232D">
            <w:rPr>
              <w:rFonts w:ascii="Arial" w:hAnsi="Arial"/>
              <w:lang w:val="fr-FR"/>
            </w:rPr>
            <w:t xml:space="preserve"> </w:t>
          </w:r>
          <w:proofErr w:type="spellStart"/>
          <w:r w:rsidR="0076232D" w:rsidRPr="0076232D">
            <w:rPr>
              <w:rFonts w:ascii="Arial" w:hAnsi="Arial"/>
              <w:lang w:val="fr-FR"/>
            </w:rPr>
            <w:t>más</w:t>
          </w:r>
          <w:proofErr w:type="spellEnd"/>
          <w:r w:rsidR="0076232D" w:rsidRPr="0076232D">
            <w:rPr>
              <w:rFonts w:ascii="Arial" w:hAnsi="Arial"/>
              <w:lang w:val="fr-FR"/>
            </w:rPr>
            <w:t xml:space="preserve"> de </w:t>
          </w:r>
          <w:proofErr w:type="spellStart"/>
          <w:r w:rsidR="0076232D" w:rsidRPr="0076232D">
            <w:rPr>
              <w:rFonts w:ascii="Arial" w:hAnsi="Arial"/>
              <w:lang w:val="fr-FR"/>
            </w:rPr>
            <w:t>diez</w:t>
          </w:r>
          <w:proofErr w:type="spellEnd"/>
          <w:r w:rsidR="0076232D" w:rsidRPr="0076232D">
            <w:rPr>
              <w:rFonts w:ascii="Arial" w:hAnsi="Arial"/>
              <w:lang w:val="fr-FR"/>
            </w:rPr>
            <w:t xml:space="preserve"> </w:t>
          </w:r>
          <w:proofErr w:type="spellStart"/>
          <w:r w:rsidR="0076232D" w:rsidRPr="0076232D">
            <w:rPr>
              <w:rFonts w:ascii="Arial" w:hAnsi="Arial"/>
              <w:lang w:val="fr-FR"/>
            </w:rPr>
            <w:t>años</w:t>
          </w:r>
          <w:proofErr w:type="spellEnd"/>
          <w:r w:rsidR="0076232D" w:rsidRPr="0076232D">
            <w:rPr>
              <w:rFonts w:ascii="Arial" w:hAnsi="Arial"/>
              <w:lang w:val="fr-FR"/>
            </w:rPr>
            <w:t xml:space="preserve">, </w:t>
          </w:r>
          <w:proofErr w:type="spellStart"/>
          <w:r w:rsidR="0076232D" w:rsidRPr="0076232D">
            <w:rPr>
              <w:rFonts w:ascii="Arial" w:hAnsi="Arial"/>
              <w:lang w:val="fr-FR"/>
            </w:rPr>
            <w:t>aunque</w:t>
          </w:r>
          <w:proofErr w:type="spellEnd"/>
          <w:r w:rsidR="0076232D" w:rsidRPr="0076232D">
            <w:rPr>
              <w:rFonts w:ascii="Arial" w:hAnsi="Arial"/>
              <w:lang w:val="fr-FR"/>
            </w:rPr>
            <w:t xml:space="preserve"> en </w:t>
          </w:r>
          <w:proofErr w:type="spellStart"/>
          <w:r w:rsidR="0076232D" w:rsidRPr="0076232D">
            <w:rPr>
              <w:rFonts w:ascii="Arial" w:hAnsi="Arial"/>
              <w:lang w:val="fr-FR"/>
            </w:rPr>
            <w:t>alguno</w:t>
          </w:r>
          <w:proofErr w:type="spellEnd"/>
          <w:r w:rsidR="0076232D" w:rsidRPr="0076232D">
            <w:rPr>
              <w:rFonts w:ascii="Arial" w:hAnsi="Arial"/>
              <w:lang w:val="fr-FR"/>
            </w:rPr>
            <w:t xml:space="preserve"> de </w:t>
          </w:r>
          <w:proofErr w:type="spellStart"/>
          <w:r w:rsidR="0076232D" w:rsidRPr="0076232D">
            <w:rPr>
              <w:rFonts w:ascii="Arial" w:hAnsi="Arial"/>
              <w:lang w:val="fr-FR"/>
            </w:rPr>
            <w:t>ellos</w:t>
          </w:r>
          <w:proofErr w:type="spellEnd"/>
          <w:r w:rsidR="0076232D" w:rsidRPr="0076232D">
            <w:rPr>
              <w:rFonts w:ascii="Arial" w:hAnsi="Arial"/>
              <w:lang w:val="fr-FR"/>
            </w:rPr>
            <w:t xml:space="preserve"> se haya </w:t>
          </w:r>
          <w:proofErr w:type="spellStart"/>
          <w:r w:rsidR="0076232D" w:rsidRPr="0076232D">
            <w:rPr>
              <w:rFonts w:ascii="Arial" w:hAnsi="Arial"/>
              <w:lang w:val="fr-FR"/>
            </w:rPr>
            <w:t>producido</w:t>
          </w:r>
          <w:proofErr w:type="spellEnd"/>
          <w:r w:rsidR="0076232D" w:rsidRPr="0076232D">
            <w:rPr>
              <w:rFonts w:ascii="Arial" w:hAnsi="Arial"/>
              <w:lang w:val="fr-FR"/>
            </w:rPr>
            <w:t xml:space="preserve"> </w:t>
          </w:r>
          <w:proofErr w:type="spellStart"/>
          <w:r w:rsidR="0076232D" w:rsidRPr="0076232D">
            <w:rPr>
              <w:rFonts w:ascii="Arial" w:hAnsi="Arial"/>
              <w:lang w:val="fr-FR"/>
            </w:rPr>
            <w:t>acto</w:t>
          </w:r>
          <w:proofErr w:type="spellEnd"/>
          <w:r w:rsidR="0076232D" w:rsidRPr="0076232D">
            <w:rPr>
              <w:rFonts w:ascii="Arial" w:hAnsi="Arial"/>
              <w:lang w:val="fr-FR"/>
            </w:rPr>
            <w:t xml:space="preserve"> </w:t>
          </w:r>
          <w:proofErr w:type="spellStart"/>
          <w:r w:rsidR="0076232D" w:rsidRPr="0076232D">
            <w:rPr>
              <w:rFonts w:ascii="Arial" w:hAnsi="Arial"/>
              <w:lang w:val="fr-FR"/>
            </w:rPr>
            <w:t>aislado</w:t>
          </w:r>
          <w:proofErr w:type="spellEnd"/>
          <w:r w:rsidR="0076232D" w:rsidRPr="0076232D">
            <w:rPr>
              <w:rFonts w:ascii="Arial" w:hAnsi="Arial"/>
              <w:lang w:val="fr-FR"/>
            </w:rPr>
            <w:t xml:space="preserve"> de </w:t>
          </w:r>
          <w:proofErr w:type="spellStart"/>
          <w:r w:rsidR="0076232D" w:rsidRPr="0076232D">
            <w:rPr>
              <w:rFonts w:ascii="Arial" w:hAnsi="Arial"/>
              <w:lang w:val="fr-FR"/>
            </w:rPr>
            <w:t>aprovechamiento</w:t>
          </w:r>
          <w:proofErr w:type="spellEnd"/>
          <w:r w:rsidR="0076232D" w:rsidRPr="0076232D">
            <w:rPr>
              <w:rFonts w:ascii="Arial" w:hAnsi="Arial"/>
              <w:lang w:val="fr-FR"/>
            </w:rPr>
            <w:t xml:space="preserve">, </w:t>
          </w:r>
          <w:proofErr w:type="spellStart"/>
          <w:r w:rsidR="0076232D" w:rsidRPr="0076232D">
            <w:rPr>
              <w:rFonts w:ascii="Arial" w:hAnsi="Arial"/>
              <w:lang w:val="fr-FR"/>
            </w:rPr>
            <w:t>podrán</w:t>
          </w:r>
          <w:proofErr w:type="spellEnd"/>
          <w:r w:rsidR="0076232D" w:rsidRPr="0076232D">
            <w:rPr>
              <w:rFonts w:ascii="Arial" w:hAnsi="Arial"/>
              <w:lang w:val="fr-FR"/>
            </w:rPr>
            <w:t xml:space="preserve"> </w:t>
          </w:r>
          <w:proofErr w:type="spellStart"/>
          <w:r w:rsidR="0076232D" w:rsidRPr="0076232D">
            <w:rPr>
              <w:rFonts w:ascii="Arial" w:hAnsi="Arial"/>
              <w:lang w:val="fr-FR"/>
            </w:rPr>
            <w:t>ser</w:t>
          </w:r>
          <w:proofErr w:type="spellEnd"/>
          <w:r w:rsidR="0076232D" w:rsidRPr="0076232D">
            <w:rPr>
              <w:rFonts w:ascii="Arial" w:hAnsi="Arial"/>
              <w:lang w:val="fr-FR"/>
            </w:rPr>
            <w:t xml:space="preserve"> </w:t>
          </w:r>
          <w:proofErr w:type="spellStart"/>
          <w:r w:rsidR="0076232D" w:rsidRPr="0076232D">
            <w:rPr>
              <w:rFonts w:ascii="Arial" w:hAnsi="Arial"/>
              <w:lang w:val="fr-FR"/>
            </w:rPr>
            <w:t>desprovistos</w:t>
          </w:r>
          <w:proofErr w:type="spellEnd"/>
          <w:r w:rsidR="0076232D" w:rsidRPr="0076232D">
            <w:rPr>
              <w:rFonts w:ascii="Arial" w:hAnsi="Arial"/>
              <w:lang w:val="fr-FR"/>
            </w:rPr>
            <w:t xml:space="preserve"> de su </w:t>
          </w:r>
          <w:proofErr w:type="spellStart"/>
          <w:r w:rsidR="0076232D" w:rsidRPr="0076232D">
            <w:rPr>
              <w:rFonts w:ascii="Arial" w:hAnsi="Arial"/>
              <w:lang w:val="fr-FR"/>
            </w:rPr>
            <w:t>carácter</w:t>
          </w:r>
          <w:proofErr w:type="spellEnd"/>
          <w:r w:rsidR="0076232D" w:rsidRPr="0076232D">
            <w:rPr>
              <w:rFonts w:ascii="Arial" w:hAnsi="Arial"/>
              <w:lang w:val="fr-FR"/>
            </w:rPr>
            <w:t xml:space="preserve"> </w:t>
          </w:r>
          <w:proofErr w:type="spellStart"/>
          <w:r w:rsidR="0076232D" w:rsidRPr="0076232D">
            <w:rPr>
              <w:rFonts w:ascii="Arial" w:hAnsi="Arial"/>
              <w:lang w:val="fr-FR"/>
            </w:rPr>
            <w:t>comunal</w:t>
          </w:r>
          <w:proofErr w:type="spellEnd"/>
          <w:r w:rsidR="0076232D" w:rsidRPr="0076232D">
            <w:rPr>
              <w:rFonts w:ascii="Arial" w:hAnsi="Arial"/>
              <w:lang w:val="fr-FR"/>
            </w:rPr>
            <w:t xml:space="preserve"> </w:t>
          </w:r>
          <w:proofErr w:type="spellStart"/>
          <w:r w:rsidR="0076232D" w:rsidRPr="0076232D">
            <w:rPr>
              <w:rFonts w:ascii="Arial" w:hAnsi="Arial"/>
              <w:lang w:val="fr-FR"/>
            </w:rPr>
            <w:t>mediante</w:t>
          </w:r>
          <w:proofErr w:type="spellEnd"/>
          <w:r w:rsidR="0076232D" w:rsidRPr="0076232D">
            <w:rPr>
              <w:rFonts w:ascii="Arial" w:hAnsi="Arial"/>
              <w:lang w:val="fr-FR"/>
            </w:rPr>
            <w:t xml:space="preserve"> </w:t>
          </w:r>
          <w:proofErr w:type="spellStart"/>
          <w:r w:rsidR="0076232D" w:rsidRPr="0076232D">
            <w:rPr>
              <w:rFonts w:ascii="Arial" w:hAnsi="Arial"/>
              <w:lang w:val="fr-FR"/>
            </w:rPr>
            <w:t>acuerdo</w:t>
          </w:r>
          <w:proofErr w:type="spellEnd"/>
          <w:r w:rsidR="0076232D" w:rsidRPr="0076232D">
            <w:rPr>
              <w:rFonts w:ascii="Arial" w:hAnsi="Arial"/>
              <w:lang w:val="fr-FR"/>
            </w:rPr>
            <w:t xml:space="preserve"> de la </w:t>
          </w:r>
          <w:proofErr w:type="spellStart"/>
          <w:r w:rsidR="0076232D" w:rsidRPr="0076232D">
            <w:rPr>
              <w:rFonts w:ascii="Arial" w:hAnsi="Arial"/>
              <w:lang w:val="fr-FR"/>
            </w:rPr>
            <w:t>Entidad</w:t>
          </w:r>
          <w:proofErr w:type="spellEnd"/>
          <w:r w:rsidR="0076232D" w:rsidRPr="0076232D">
            <w:rPr>
              <w:rFonts w:ascii="Arial" w:hAnsi="Arial"/>
              <w:lang w:val="fr-FR"/>
            </w:rPr>
            <w:t xml:space="preserve"> local </w:t>
          </w:r>
          <w:proofErr w:type="spellStart"/>
          <w:r w:rsidR="0076232D" w:rsidRPr="0076232D">
            <w:rPr>
              <w:rFonts w:ascii="Arial" w:hAnsi="Arial"/>
              <w:lang w:val="fr-FR"/>
            </w:rPr>
            <w:t>respectiva</w:t>
          </w:r>
          <w:proofErr w:type="spellEnd"/>
          <w:r w:rsidR="0076232D" w:rsidRPr="0076232D">
            <w:rPr>
              <w:rFonts w:ascii="Arial" w:hAnsi="Arial"/>
              <w:lang w:val="fr-FR"/>
            </w:rPr>
            <w:t>”.</w:t>
          </w:r>
        </w:sdtContent>
      </w:sdt>
    </w:p>
    <w:p w14:paraId="76B7A1E9" w14:textId="683A0572" w:rsidR="00B34C8F" w:rsidRPr="0050041D" w:rsidRDefault="00B34C8F" w:rsidP="00B34C8F">
      <w:pPr>
        <w:pStyle w:val="Default"/>
        <w:spacing w:after="120" w:line="360" w:lineRule="auto"/>
        <w:jc w:val="both"/>
        <w:rPr>
          <w:rFonts w:ascii="Arial" w:hAnsi="Arial" w:cs="Arial"/>
          <w:color w:val="auto"/>
        </w:rPr>
      </w:pPr>
      <w:r w:rsidRPr="0050041D">
        <w:rPr>
          <w:rFonts w:ascii="Arial" w:hAnsi="Arial" w:cs="Arial"/>
          <w:color w:val="auto"/>
        </w:rPr>
        <w:t>Por lo tanto, para poder plantear su “</w:t>
      </w:r>
      <w:proofErr w:type="spellStart"/>
      <w:r w:rsidRPr="0050041D">
        <w:rPr>
          <w:rFonts w:ascii="Arial" w:hAnsi="Arial" w:cs="Arial"/>
          <w:color w:val="auto"/>
        </w:rPr>
        <w:t>patrimonialización</w:t>
      </w:r>
      <w:proofErr w:type="spellEnd"/>
      <w:r w:rsidRPr="0050041D">
        <w:rPr>
          <w:rFonts w:ascii="Arial" w:hAnsi="Arial" w:cs="Arial"/>
          <w:color w:val="auto"/>
        </w:rPr>
        <w:t>”, esto es, para convertirlo en bien patrimonial, se necesitan diez años de ausencia de uso comunal, algo que tampoco se ha producido.</w:t>
      </w:r>
    </w:p>
    <w:p w14:paraId="428C43A2" w14:textId="14EFDADB" w:rsidR="00CC15ED" w:rsidRPr="00740B4F" w:rsidRDefault="00B34C8F" w:rsidP="00B34C8F">
      <w:pPr>
        <w:rPr>
          <w:rFonts w:ascii="Arial" w:hAnsi="Arial"/>
          <w:lang w:val="fr-FR"/>
        </w:rPr>
      </w:pPr>
      <w:r w:rsidRPr="0050041D">
        <w:rPr>
          <w:rFonts w:ascii="Arial" w:hAnsi="Arial" w:cs="Arial"/>
        </w:rPr>
        <w:t xml:space="preserve">En definitiva, el acuerdo del Ayuntamiento y la correspondiente autorización autonómica son contrarios a la normativa aplicable a los bienes comunales. La ponente hace, previo al fallo, un resumen acertado y crítico sobre la situación que subyace en este pleito y en los que se puedan promover en casos similares: </w:t>
      </w:r>
      <w:r w:rsidR="00CC15ED" w:rsidRPr="00740B4F">
        <w:rPr>
          <w:rFonts w:ascii="Arial" w:hAnsi="Arial"/>
          <w:lang w:val="fr-FR"/>
        </w:rPr>
        <w:t xml:space="preserve"> </w:t>
      </w:r>
    </w:p>
    <w:p w14:paraId="1A0B63C3" w14:textId="3573039B" w:rsidR="00CC15ED" w:rsidRPr="00740B4F" w:rsidRDefault="00CC15ED" w:rsidP="00CC15ED">
      <w:pPr>
        <w:pStyle w:val="Cita"/>
        <w:rPr>
          <w:rFonts w:ascii="Arial" w:hAnsi="Arial"/>
          <w:lang w:val="es-ES_tradnl"/>
        </w:rPr>
      </w:pPr>
      <w:sdt>
        <w:sdtPr>
          <w:rPr>
            <w:rFonts w:ascii="Arial" w:hAnsi="Arial"/>
            <w:lang w:val="fr-FR"/>
          </w:rPr>
          <w:id w:val="330501613"/>
          <w:placeholder>
            <w:docPart w:val="09583C6DD1584E1CBC2A150DE63909FF"/>
          </w:placeholder>
        </w:sdtPr>
        <w:sdtContent>
          <w:r w:rsidR="00910734" w:rsidRPr="0050041D">
            <w:rPr>
              <w:rFonts w:ascii="Arial" w:hAnsi="Arial" w:cs="Arial"/>
              <w:color w:val="auto"/>
            </w:rPr>
            <w:t xml:space="preserve">“En el </w:t>
          </w:r>
          <w:proofErr w:type="spellStart"/>
          <w:r w:rsidR="00910734" w:rsidRPr="0050041D">
            <w:rPr>
              <w:rFonts w:ascii="Arial" w:hAnsi="Arial" w:cs="Arial"/>
              <w:color w:val="auto"/>
            </w:rPr>
            <w:t>trasfondo</w:t>
          </w:r>
          <w:proofErr w:type="spellEnd"/>
          <w:r w:rsidR="00910734" w:rsidRPr="0050041D">
            <w:rPr>
              <w:rFonts w:ascii="Arial" w:hAnsi="Arial" w:cs="Arial"/>
              <w:color w:val="auto"/>
            </w:rPr>
            <w:t xml:space="preserve"> de la </w:t>
          </w:r>
          <w:proofErr w:type="spellStart"/>
          <w:r w:rsidR="00910734" w:rsidRPr="0050041D">
            <w:rPr>
              <w:rFonts w:ascii="Arial" w:hAnsi="Arial" w:cs="Arial"/>
              <w:color w:val="auto"/>
            </w:rPr>
            <w:t>controversia</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planteada</w:t>
          </w:r>
          <w:proofErr w:type="spellEnd"/>
          <w:r w:rsidR="00910734" w:rsidRPr="0050041D">
            <w:rPr>
              <w:rFonts w:ascii="Arial" w:hAnsi="Arial" w:cs="Arial"/>
              <w:color w:val="auto"/>
            </w:rPr>
            <w:t xml:space="preserve"> se </w:t>
          </w:r>
          <w:proofErr w:type="spellStart"/>
          <w:r w:rsidR="00910734" w:rsidRPr="0050041D">
            <w:rPr>
              <w:rFonts w:ascii="Arial" w:hAnsi="Arial" w:cs="Arial"/>
              <w:color w:val="auto"/>
            </w:rPr>
            <w:t>encuentra</w:t>
          </w:r>
          <w:proofErr w:type="spellEnd"/>
          <w:r w:rsidR="00910734" w:rsidRPr="0050041D">
            <w:rPr>
              <w:rFonts w:ascii="Arial" w:hAnsi="Arial" w:cs="Arial"/>
              <w:color w:val="auto"/>
            </w:rPr>
            <w:t xml:space="preserve"> el </w:t>
          </w:r>
          <w:proofErr w:type="spellStart"/>
          <w:r w:rsidR="00910734" w:rsidRPr="0050041D">
            <w:rPr>
              <w:rFonts w:ascii="Arial" w:hAnsi="Arial" w:cs="Arial"/>
              <w:color w:val="auto"/>
            </w:rPr>
            <w:t>cuestionamiento</w:t>
          </w:r>
          <w:proofErr w:type="spellEnd"/>
          <w:r w:rsidR="00910734" w:rsidRPr="0050041D">
            <w:rPr>
              <w:rFonts w:ascii="Arial" w:hAnsi="Arial" w:cs="Arial"/>
              <w:color w:val="auto"/>
            </w:rPr>
            <w:t xml:space="preserve"> del modelo de vida de los </w:t>
          </w:r>
          <w:proofErr w:type="spellStart"/>
          <w:r w:rsidR="00910734" w:rsidRPr="0050041D">
            <w:rPr>
              <w:rFonts w:ascii="Arial" w:hAnsi="Arial" w:cs="Arial"/>
              <w:color w:val="auto"/>
            </w:rPr>
            <w:t>pueblos</w:t>
          </w:r>
          <w:proofErr w:type="spellEnd"/>
          <w:r w:rsidR="00910734" w:rsidRPr="0050041D">
            <w:rPr>
              <w:rFonts w:ascii="Arial" w:hAnsi="Arial" w:cs="Arial"/>
              <w:color w:val="auto"/>
            </w:rPr>
            <w:t xml:space="preserve"> que han </w:t>
          </w:r>
          <w:proofErr w:type="spellStart"/>
          <w:r w:rsidR="00910734" w:rsidRPr="0050041D">
            <w:rPr>
              <w:rFonts w:ascii="Arial" w:hAnsi="Arial" w:cs="Arial"/>
              <w:color w:val="auto"/>
            </w:rPr>
            <w:t>vivido</w:t>
          </w:r>
          <w:proofErr w:type="spellEnd"/>
          <w:r w:rsidR="00910734" w:rsidRPr="0050041D">
            <w:rPr>
              <w:rFonts w:ascii="Arial" w:hAnsi="Arial" w:cs="Arial"/>
              <w:color w:val="auto"/>
            </w:rPr>
            <w:t xml:space="preserve"> de la agricultura </w:t>
          </w:r>
          <w:proofErr w:type="spellStart"/>
          <w:r w:rsidR="00910734" w:rsidRPr="0050041D">
            <w:rPr>
              <w:rFonts w:ascii="Arial" w:hAnsi="Arial" w:cs="Arial"/>
              <w:color w:val="auto"/>
            </w:rPr>
            <w:t>disfrutando</w:t>
          </w:r>
          <w:proofErr w:type="spellEnd"/>
          <w:r w:rsidR="00910734" w:rsidRPr="0050041D">
            <w:rPr>
              <w:rFonts w:ascii="Arial" w:hAnsi="Arial" w:cs="Arial"/>
              <w:color w:val="auto"/>
            </w:rPr>
            <w:t xml:space="preserve"> de estos </w:t>
          </w:r>
          <w:proofErr w:type="spellStart"/>
          <w:r w:rsidR="00910734" w:rsidRPr="0050041D">
            <w:rPr>
              <w:rFonts w:ascii="Arial" w:hAnsi="Arial" w:cs="Arial"/>
              <w:color w:val="auto"/>
            </w:rPr>
            <w:t>bienes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comunales</w:t>
          </w:r>
          <w:proofErr w:type="spellEnd"/>
          <w:r w:rsidR="00910734" w:rsidRPr="0050041D">
            <w:rPr>
              <w:rFonts w:ascii="Arial" w:hAnsi="Arial" w:cs="Arial"/>
              <w:color w:val="auto"/>
            </w:rPr>
            <w:t xml:space="preserve">, que afecta a </w:t>
          </w:r>
          <w:proofErr w:type="spellStart"/>
          <w:r w:rsidR="00910734" w:rsidRPr="0050041D">
            <w:rPr>
              <w:rFonts w:ascii="Arial" w:hAnsi="Arial" w:cs="Arial"/>
              <w:color w:val="auto"/>
            </w:rPr>
            <w:t>su</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subsistencia</w:t>
          </w:r>
          <w:proofErr w:type="spellEnd"/>
          <w:r w:rsidR="00910734" w:rsidRPr="0050041D">
            <w:rPr>
              <w:rFonts w:ascii="Arial" w:hAnsi="Arial" w:cs="Arial"/>
              <w:color w:val="auto"/>
            </w:rPr>
            <w:t xml:space="preserve"> y </w:t>
          </w:r>
          <w:proofErr w:type="spellStart"/>
          <w:r w:rsidR="00910734" w:rsidRPr="0050041D">
            <w:rPr>
              <w:rFonts w:ascii="Arial" w:hAnsi="Arial" w:cs="Arial"/>
              <w:color w:val="auto"/>
            </w:rPr>
            <w:t>permanencia</w:t>
          </w:r>
          <w:proofErr w:type="spellEnd"/>
          <w:r w:rsidR="00910734" w:rsidRPr="0050041D">
            <w:rPr>
              <w:rFonts w:ascii="Arial" w:hAnsi="Arial" w:cs="Arial"/>
              <w:color w:val="auto"/>
            </w:rPr>
            <w:t xml:space="preserve"> en el </w:t>
          </w:r>
          <w:proofErr w:type="spellStart"/>
          <w:r w:rsidR="00910734" w:rsidRPr="0050041D">
            <w:rPr>
              <w:rFonts w:ascii="Arial" w:hAnsi="Arial" w:cs="Arial"/>
              <w:color w:val="auto"/>
            </w:rPr>
            <w:t>territorio</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frente</w:t>
          </w:r>
          <w:proofErr w:type="spellEnd"/>
          <w:r w:rsidR="00910734" w:rsidRPr="0050041D">
            <w:rPr>
              <w:rFonts w:ascii="Arial" w:hAnsi="Arial" w:cs="Arial"/>
              <w:color w:val="auto"/>
            </w:rPr>
            <w:t xml:space="preserve"> a los que </w:t>
          </w:r>
          <w:proofErr w:type="spellStart"/>
          <w:r w:rsidR="00910734" w:rsidRPr="0050041D">
            <w:rPr>
              <w:rFonts w:ascii="Arial" w:hAnsi="Arial" w:cs="Arial"/>
              <w:color w:val="auto"/>
            </w:rPr>
            <w:t>pueden</w:t>
          </w:r>
          <w:proofErr w:type="spellEnd"/>
          <w:r w:rsidR="00910734" w:rsidRPr="0050041D">
            <w:rPr>
              <w:rFonts w:ascii="Arial" w:hAnsi="Arial" w:cs="Arial"/>
              <w:color w:val="auto"/>
            </w:rPr>
            <w:t xml:space="preserve"> considerar el </w:t>
          </w:r>
          <w:proofErr w:type="spellStart"/>
          <w:r w:rsidR="00910734" w:rsidRPr="0050041D">
            <w:rPr>
              <w:rFonts w:ascii="Arial" w:hAnsi="Arial" w:cs="Arial"/>
              <w:color w:val="auto"/>
            </w:rPr>
            <w:t>régimen</w:t>
          </w:r>
          <w:proofErr w:type="spellEnd"/>
          <w:r w:rsidR="00910734" w:rsidRPr="0050041D">
            <w:rPr>
              <w:rFonts w:ascii="Arial" w:hAnsi="Arial" w:cs="Arial"/>
              <w:color w:val="auto"/>
            </w:rPr>
            <w:t xml:space="preserve"> de los </w:t>
          </w:r>
          <w:proofErr w:type="spellStart"/>
          <w:r w:rsidR="00910734" w:rsidRPr="0050041D">
            <w:rPr>
              <w:rFonts w:ascii="Arial" w:hAnsi="Arial" w:cs="Arial"/>
              <w:color w:val="auto"/>
            </w:rPr>
            <w:t>bienes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comunales</w:t>
          </w:r>
          <w:proofErr w:type="spellEnd"/>
          <w:r w:rsidR="00910734" w:rsidRPr="0050041D">
            <w:rPr>
              <w:rFonts w:ascii="Arial" w:hAnsi="Arial" w:cs="Arial"/>
              <w:color w:val="auto"/>
            </w:rPr>
            <w:t xml:space="preserve"> un </w:t>
          </w:r>
          <w:proofErr w:type="spellStart"/>
          <w:r w:rsidR="00910734" w:rsidRPr="0050041D">
            <w:rPr>
              <w:rFonts w:ascii="Arial" w:hAnsi="Arial" w:cs="Arial"/>
              <w:color w:val="auto"/>
            </w:rPr>
            <w:t>fenómeno</w:t>
          </w:r>
          <w:proofErr w:type="spellEnd"/>
          <w:r w:rsidR="00910734" w:rsidRPr="0050041D">
            <w:rPr>
              <w:rFonts w:ascii="Arial" w:hAnsi="Arial" w:cs="Arial"/>
              <w:color w:val="auto"/>
            </w:rPr>
            <w:t xml:space="preserve"> de </w:t>
          </w:r>
          <w:proofErr w:type="spellStart"/>
          <w:r w:rsidR="00910734" w:rsidRPr="0050041D">
            <w:rPr>
              <w:rFonts w:ascii="Arial" w:hAnsi="Arial" w:cs="Arial"/>
              <w:color w:val="auto"/>
            </w:rPr>
            <w:t>arqueología</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socio</w:t>
          </w:r>
          <w:proofErr w:type="spellEnd"/>
          <w:r w:rsidR="00910734" w:rsidRPr="0050041D">
            <w:rPr>
              <w:rFonts w:ascii="Arial" w:hAnsi="Arial" w:cs="Arial"/>
              <w:color w:val="auto"/>
            </w:rPr>
            <w:t xml:space="preserve"> jurídica y que se </w:t>
          </w:r>
          <w:proofErr w:type="spellStart"/>
          <w:r w:rsidR="00910734" w:rsidRPr="0050041D">
            <w:rPr>
              <w:rFonts w:ascii="Arial" w:hAnsi="Arial" w:cs="Arial"/>
              <w:color w:val="auto"/>
            </w:rPr>
            <w:t>puede</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obtener</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mayores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ingresos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económicos</w:t>
          </w:r>
          <w:proofErr w:type="spellEnd"/>
          <w:r w:rsidR="00910734" w:rsidRPr="0050041D">
            <w:rPr>
              <w:rFonts w:ascii="Arial" w:hAnsi="Arial" w:cs="Arial"/>
              <w:color w:val="auto"/>
            </w:rPr>
            <w:t xml:space="preserve"> a través de </w:t>
          </w:r>
          <w:proofErr w:type="spellStart"/>
          <w:r w:rsidR="00910734" w:rsidRPr="0050041D">
            <w:rPr>
              <w:rFonts w:ascii="Arial" w:hAnsi="Arial" w:cs="Arial"/>
              <w:color w:val="auto"/>
            </w:rPr>
            <w:t>su</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adjudicación</w:t>
          </w:r>
          <w:proofErr w:type="spellEnd"/>
          <w:r w:rsidR="00910734" w:rsidRPr="0050041D">
            <w:rPr>
              <w:rFonts w:ascii="Arial" w:hAnsi="Arial" w:cs="Arial"/>
              <w:color w:val="auto"/>
            </w:rPr>
            <w:t xml:space="preserve"> por </w:t>
          </w:r>
          <w:proofErr w:type="spellStart"/>
          <w:r w:rsidR="00910734" w:rsidRPr="0050041D">
            <w:rPr>
              <w:rFonts w:ascii="Arial" w:hAnsi="Arial" w:cs="Arial"/>
              <w:color w:val="auto"/>
            </w:rPr>
            <w:t>precio</w:t>
          </w:r>
          <w:proofErr w:type="spellEnd"/>
          <w:r w:rsidR="00910734" w:rsidRPr="0050041D">
            <w:rPr>
              <w:rFonts w:ascii="Arial" w:hAnsi="Arial" w:cs="Arial"/>
              <w:color w:val="auto"/>
            </w:rPr>
            <w:t xml:space="preserve"> para la </w:t>
          </w:r>
          <w:proofErr w:type="spellStart"/>
          <w:r w:rsidR="00910734" w:rsidRPr="0050041D">
            <w:rPr>
              <w:rFonts w:ascii="Arial" w:hAnsi="Arial" w:cs="Arial"/>
              <w:color w:val="auto"/>
            </w:rPr>
            <w:t>instalación</w:t>
          </w:r>
          <w:proofErr w:type="spellEnd"/>
          <w:r w:rsidR="00910734" w:rsidRPr="0050041D">
            <w:rPr>
              <w:rFonts w:ascii="Arial" w:hAnsi="Arial" w:cs="Arial"/>
              <w:color w:val="auto"/>
            </w:rPr>
            <w:t xml:space="preserve"> de </w:t>
          </w:r>
          <w:proofErr w:type="spellStart"/>
          <w:r w:rsidR="00910734" w:rsidRPr="0050041D">
            <w:rPr>
              <w:rFonts w:ascii="Arial" w:hAnsi="Arial" w:cs="Arial"/>
              <w:color w:val="auto"/>
            </w:rPr>
            <w:t>proyectos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energéticos</w:t>
          </w:r>
          <w:proofErr w:type="spellEnd"/>
          <w:r w:rsidR="00910734" w:rsidRPr="0050041D">
            <w:rPr>
              <w:rFonts w:ascii="Arial" w:hAnsi="Arial" w:cs="Arial"/>
              <w:color w:val="auto"/>
            </w:rPr>
            <w:t xml:space="preserve">. La </w:t>
          </w:r>
          <w:proofErr w:type="spellStart"/>
          <w:r w:rsidR="00910734" w:rsidRPr="0050041D">
            <w:rPr>
              <w:rFonts w:ascii="Arial" w:hAnsi="Arial" w:cs="Arial"/>
              <w:color w:val="auto"/>
            </w:rPr>
            <w:t>realidad</w:t>
          </w:r>
          <w:proofErr w:type="spellEnd"/>
          <w:r w:rsidR="00910734" w:rsidRPr="0050041D">
            <w:rPr>
              <w:rFonts w:ascii="Arial" w:hAnsi="Arial" w:cs="Arial"/>
              <w:color w:val="auto"/>
            </w:rPr>
            <w:t xml:space="preserve"> social y la </w:t>
          </w:r>
          <w:proofErr w:type="spellStart"/>
          <w:r w:rsidR="00910734" w:rsidRPr="0050041D">
            <w:rPr>
              <w:rFonts w:ascii="Arial" w:hAnsi="Arial" w:cs="Arial"/>
              <w:color w:val="auto"/>
            </w:rPr>
            <w:t>necesidad</w:t>
          </w:r>
          <w:proofErr w:type="spellEnd"/>
          <w:r w:rsidR="00910734" w:rsidRPr="0050041D">
            <w:rPr>
              <w:rFonts w:ascii="Arial" w:hAnsi="Arial" w:cs="Arial"/>
              <w:color w:val="auto"/>
            </w:rPr>
            <w:t xml:space="preserve"> de </w:t>
          </w:r>
          <w:proofErr w:type="spellStart"/>
          <w:r w:rsidR="00910734" w:rsidRPr="0050041D">
            <w:rPr>
              <w:rFonts w:ascii="Arial" w:hAnsi="Arial" w:cs="Arial"/>
              <w:color w:val="auto"/>
            </w:rPr>
            <w:t>implantación</w:t>
          </w:r>
          <w:proofErr w:type="spellEnd"/>
          <w:r w:rsidR="00910734" w:rsidRPr="0050041D">
            <w:rPr>
              <w:rFonts w:ascii="Arial" w:hAnsi="Arial" w:cs="Arial"/>
              <w:color w:val="auto"/>
            </w:rPr>
            <w:t xml:space="preserve"> de las </w:t>
          </w:r>
          <w:proofErr w:type="spellStart"/>
          <w:r w:rsidR="00910734" w:rsidRPr="0050041D">
            <w:rPr>
              <w:rFonts w:ascii="Arial" w:hAnsi="Arial" w:cs="Arial"/>
              <w:color w:val="auto"/>
            </w:rPr>
            <w:t>energías</w:t>
          </w:r>
          <w:proofErr w:type="spellEnd"/>
          <w:r w:rsidR="00910734" w:rsidRPr="0050041D">
            <w:rPr>
              <w:rFonts w:ascii="Arial" w:hAnsi="Arial" w:cs="Arial"/>
              <w:color w:val="auto"/>
            </w:rPr>
            <w:t xml:space="preserve"> renovables, que invoca el </w:t>
          </w:r>
          <w:proofErr w:type="spellStart"/>
          <w:r w:rsidR="00910734" w:rsidRPr="0050041D">
            <w:rPr>
              <w:rFonts w:ascii="Arial" w:hAnsi="Arial" w:cs="Arial"/>
              <w:color w:val="auto"/>
            </w:rPr>
            <w:t>Ayuntamiento</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codemandado</w:t>
          </w:r>
          <w:proofErr w:type="spellEnd"/>
          <w:r w:rsidR="00910734" w:rsidRPr="0050041D">
            <w:rPr>
              <w:rFonts w:ascii="Arial" w:hAnsi="Arial" w:cs="Arial"/>
              <w:color w:val="auto"/>
            </w:rPr>
            <w:t xml:space="preserve"> para justificar la </w:t>
          </w:r>
          <w:proofErr w:type="spellStart"/>
          <w:r w:rsidR="00910734" w:rsidRPr="0050041D">
            <w:rPr>
              <w:rFonts w:ascii="Arial" w:hAnsi="Arial" w:cs="Arial"/>
              <w:color w:val="auto"/>
            </w:rPr>
            <w:t>decisión</w:t>
          </w:r>
          <w:proofErr w:type="spellEnd"/>
          <w:r w:rsidR="00910734" w:rsidRPr="0050041D">
            <w:rPr>
              <w:rFonts w:ascii="Arial" w:hAnsi="Arial" w:cs="Arial"/>
              <w:color w:val="auto"/>
            </w:rPr>
            <w:t xml:space="preserve"> de acotar </w:t>
          </w:r>
          <w:proofErr w:type="spellStart"/>
          <w:r w:rsidR="00910734" w:rsidRPr="0050041D">
            <w:rPr>
              <w:rFonts w:ascii="Arial" w:hAnsi="Arial" w:cs="Arial"/>
              <w:color w:val="auto"/>
            </w:rPr>
            <w:t>parte</w:t>
          </w:r>
          <w:proofErr w:type="spellEnd"/>
          <w:r w:rsidR="00910734" w:rsidRPr="0050041D">
            <w:rPr>
              <w:rFonts w:ascii="Arial" w:hAnsi="Arial" w:cs="Arial"/>
              <w:color w:val="auto"/>
            </w:rPr>
            <w:t xml:space="preserve"> de los </w:t>
          </w:r>
          <w:proofErr w:type="spellStart"/>
          <w:r w:rsidR="00910734" w:rsidRPr="0050041D">
            <w:rPr>
              <w:rFonts w:ascii="Arial" w:hAnsi="Arial" w:cs="Arial"/>
              <w:color w:val="auto"/>
            </w:rPr>
            <w:t>bienes</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comunales</w:t>
          </w:r>
          <w:proofErr w:type="spellEnd"/>
          <w:r w:rsidR="00910734" w:rsidRPr="0050041D">
            <w:rPr>
              <w:rFonts w:ascii="Arial" w:hAnsi="Arial" w:cs="Arial"/>
              <w:color w:val="auto"/>
            </w:rPr>
            <w:t xml:space="preserve">, no </w:t>
          </w:r>
          <w:proofErr w:type="spellStart"/>
          <w:r w:rsidR="00910734" w:rsidRPr="0050041D">
            <w:rPr>
              <w:rFonts w:ascii="Arial" w:hAnsi="Arial" w:cs="Arial"/>
              <w:color w:val="auto"/>
            </w:rPr>
            <w:t>puede</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prevalecer</w:t>
          </w:r>
          <w:proofErr w:type="spellEnd"/>
          <w:r w:rsidR="00910734" w:rsidRPr="0050041D">
            <w:rPr>
              <w:rFonts w:ascii="Arial" w:hAnsi="Arial" w:cs="Arial"/>
              <w:color w:val="auto"/>
            </w:rPr>
            <w:t xml:space="preserve"> sobre la normativa y usos </w:t>
          </w:r>
          <w:proofErr w:type="spellStart"/>
          <w:r w:rsidR="00910734" w:rsidRPr="0050041D">
            <w:rPr>
              <w:rFonts w:ascii="Arial" w:hAnsi="Arial" w:cs="Arial"/>
              <w:color w:val="auto"/>
            </w:rPr>
            <w:t>existentes</w:t>
          </w:r>
          <w:proofErr w:type="spellEnd"/>
          <w:r w:rsidR="00910734" w:rsidRPr="0050041D">
            <w:rPr>
              <w:rFonts w:ascii="Arial" w:hAnsi="Arial" w:cs="Arial"/>
              <w:color w:val="auto"/>
            </w:rPr>
            <w:t xml:space="preserve">, que </w:t>
          </w:r>
          <w:proofErr w:type="spellStart"/>
          <w:r w:rsidR="00910734" w:rsidRPr="0050041D">
            <w:rPr>
              <w:rFonts w:ascii="Arial" w:hAnsi="Arial" w:cs="Arial"/>
              <w:color w:val="auto"/>
            </w:rPr>
            <w:t>efectivamente</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pueden</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cambiar</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pero</w:t>
          </w:r>
          <w:proofErr w:type="spellEnd"/>
          <w:r w:rsidR="00910734" w:rsidRPr="0050041D">
            <w:rPr>
              <w:rFonts w:ascii="Arial" w:hAnsi="Arial" w:cs="Arial"/>
              <w:color w:val="auto"/>
            </w:rPr>
            <w:t xml:space="preserve"> que no </w:t>
          </w:r>
          <w:proofErr w:type="spellStart"/>
          <w:r w:rsidR="00910734" w:rsidRPr="0050041D">
            <w:rPr>
              <w:rFonts w:ascii="Arial" w:hAnsi="Arial" w:cs="Arial"/>
              <w:color w:val="auto"/>
            </w:rPr>
            <w:t>habían</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cambiado</w:t>
          </w:r>
          <w:proofErr w:type="spellEnd"/>
          <w:r w:rsidR="00910734" w:rsidRPr="0050041D">
            <w:rPr>
              <w:rFonts w:ascii="Arial" w:hAnsi="Arial" w:cs="Arial"/>
              <w:color w:val="auto"/>
            </w:rPr>
            <w:t xml:space="preserve"> </w:t>
          </w:r>
          <w:proofErr w:type="spellStart"/>
          <w:r w:rsidR="00910734" w:rsidRPr="0050041D">
            <w:rPr>
              <w:rFonts w:ascii="Arial" w:hAnsi="Arial" w:cs="Arial"/>
              <w:color w:val="auto"/>
            </w:rPr>
            <w:t>cuando</w:t>
          </w:r>
          <w:proofErr w:type="spellEnd"/>
          <w:r w:rsidR="00910734" w:rsidRPr="0050041D">
            <w:rPr>
              <w:rFonts w:ascii="Arial" w:hAnsi="Arial" w:cs="Arial"/>
              <w:color w:val="auto"/>
            </w:rPr>
            <w:t xml:space="preserve"> se </w:t>
          </w:r>
          <w:proofErr w:type="spellStart"/>
          <w:r w:rsidR="00910734" w:rsidRPr="0050041D">
            <w:rPr>
              <w:rFonts w:ascii="Arial" w:hAnsi="Arial" w:cs="Arial"/>
              <w:color w:val="auto"/>
            </w:rPr>
            <w:t>aprueba</w:t>
          </w:r>
          <w:proofErr w:type="spellEnd"/>
          <w:r w:rsidR="00910734" w:rsidRPr="0050041D">
            <w:rPr>
              <w:rFonts w:ascii="Arial" w:hAnsi="Arial" w:cs="Arial"/>
              <w:color w:val="auto"/>
            </w:rPr>
            <w:t xml:space="preserve"> el </w:t>
          </w:r>
          <w:proofErr w:type="spellStart"/>
          <w:r w:rsidR="00910734" w:rsidRPr="0050041D">
            <w:rPr>
              <w:rFonts w:ascii="Arial" w:hAnsi="Arial" w:cs="Arial"/>
              <w:color w:val="auto"/>
            </w:rPr>
            <w:t>acotamiento</w:t>
          </w:r>
          <w:proofErr w:type="spellEnd"/>
          <w:r w:rsidR="00910734" w:rsidRPr="0050041D">
            <w:rPr>
              <w:rFonts w:ascii="Arial" w:hAnsi="Arial" w:cs="Arial"/>
              <w:color w:val="auto"/>
            </w:rPr>
            <w:t>”.</w:t>
          </w:r>
        </w:sdtContent>
      </w:sdt>
    </w:p>
    <w:p w14:paraId="621F7051" w14:textId="1BD02A8D" w:rsidR="00CC15ED" w:rsidRDefault="00EE06EC" w:rsidP="00CC15ED">
      <w:pPr>
        <w:rPr>
          <w:rFonts w:ascii="Arial" w:hAnsi="Arial"/>
          <w:lang w:val="fr-FR"/>
        </w:rPr>
      </w:pPr>
      <w:r w:rsidRPr="0050041D">
        <w:rPr>
          <w:rFonts w:ascii="Arial" w:hAnsi="Arial" w:cs="Arial"/>
        </w:rPr>
        <w:t xml:space="preserve">Es un auténtico aviso para navegantes: la durísima situación de crisis energética por la que atraviesa España y Europa, a la que se añaden los objetivos exigentes de reducción de emisiones, así como las amplias posibilidades que ofrece la España vaciada para la promoción de energías renovables no pueden justificar que la promoción de energías limpias se haga </w:t>
      </w:r>
      <w:r w:rsidRPr="0050041D">
        <w:rPr>
          <w:rFonts w:ascii="Arial" w:hAnsi="Arial" w:cs="Arial"/>
        </w:rPr>
        <w:lastRenderedPageBreak/>
        <w:t>a costa de la legalidad vigente y de la funcionalidad social de los bienes comunales</w:t>
      </w:r>
      <w:r w:rsidR="00763DE7">
        <w:rPr>
          <w:rFonts w:ascii="Arial" w:hAnsi="Arial"/>
          <w:lang w:val="fr-FR"/>
        </w:rPr>
        <w:t>.</w:t>
      </w:r>
    </w:p>
    <w:p w14:paraId="1BFD36C5" w14:textId="38240D9D" w:rsidR="00763DE7" w:rsidRDefault="00EE5F03" w:rsidP="00CC15ED">
      <w:pPr>
        <w:rPr>
          <w:rFonts w:ascii="Arial" w:hAnsi="Arial"/>
          <w:b/>
          <w:bCs/>
          <w:lang w:val="fr-FR"/>
        </w:rPr>
      </w:pPr>
      <w:r>
        <w:rPr>
          <w:rFonts w:ascii="Arial" w:hAnsi="Arial"/>
          <w:b/>
          <w:bCs/>
          <w:lang w:val="fr-FR"/>
        </w:rPr>
        <w:t xml:space="preserve">3. SOBRE LA </w:t>
      </w:r>
      <w:r w:rsidR="00EF19F7" w:rsidRPr="00EF19F7">
        <w:rPr>
          <w:rFonts w:ascii="Arial" w:hAnsi="Arial"/>
          <w:b/>
          <w:bCs/>
          <w:lang w:val="fr-FR"/>
        </w:rPr>
        <w:t>IMPUGNABILIDAD DE LA PRORROGA DE LA DECLARACION DE IMPACTO AMBIENTAL. UN EJEMPLO PARADIGMATICO DE JURISPRUDENCIA CREATIVA PRO ACTIONE</w:t>
      </w:r>
    </w:p>
    <w:p w14:paraId="59CDAAB1" w14:textId="77777777" w:rsidR="003060C2" w:rsidRPr="0050041D" w:rsidRDefault="003060C2" w:rsidP="003060C2">
      <w:pPr>
        <w:spacing w:after="120"/>
        <w:rPr>
          <w:rFonts w:ascii="Arial" w:hAnsi="Arial" w:cs="Arial"/>
          <w:szCs w:val="24"/>
        </w:rPr>
      </w:pPr>
      <w:r w:rsidRPr="0050041D">
        <w:rPr>
          <w:rFonts w:ascii="Arial" w:hAnsi="Arial" w:cs="Arial"/>
          <w:szCs w:val="24"/>
        </w:rPr>
        <w:t>Este relevante exponente de la denominada jurisprudencia menor es la sentencia de 12 de septiembre de 2022, de la Sala de lo contencioso-administrativo (Burgos) del Tribunal Superior de Justicia (</w:t>
      </w:r>
      <w:proofErr w:type="spellStart"/>
      <w:r w:rsidRPr="0050041D">
        <w:rPr>
          <w:rFonts w:ascii="Arial" w:hAnsi="Arial" w:cs="Arial"/>
          <w:szCs w:val="24"/>
        </w:rPr>
        <w:t>rec.</w:t>
      </w:r>
      <w:proofErr w:type="spellEnd"/>
      <w:r w:rsidRPr="0050041D">
        <w:rPr>
          <w:rFonts w:ascii="Arial" w:hAnsi="Arial" w:cs="Arial"/>
          <w:szCs w:val="24"/>
        </w:rPr>
        <w:t xml:space="preserve"> n. 131/2021), sentencia excepcional, enormemente creativa en la interpretación </w:t>
      </w:r>
      <w:r w:rsidRPr="0050041D">
        <w:rPr>
          <w:rFonts w:ascii="Arial" w:hAnsi="Arial" w:cs="Arial"/>
          <w:i/>
          <w:szCs w:val="24"/>
        </w:rPr>
        <w:t xml:space="preserve">pro </w:t>
      </w:r>
      <w:proofErr w:type="spellStart"/>
      <w:r w:rsidRPr="0050041D">
        <w:rPr>
          <w:rFonts w:ascii="Arial" w:hAnsi="Arial" w:cs="Arial"/>
          <w:i/>
          <w:szCs w:val="24"/>
        </w:rPr>
        <w:t>actione</w:t>
      </w:r>
      <w:proofErr w:type="spellEnd"/>
      <w:r w:rsidRPr="0050041D">
        <w:rPr>
          <w:rFonts w:ascii="Arial" w:hAnsi="Arial" w:cs="Arial"/>
          <w:szCs w:val="24"/>
        </w:rPr>
        <w:t xml:space="preserve"> de la legitimación para evitar la inadmisión y, en definitiva, para entrar a conocer el fondo del asunto. No resulta difícil pensar que, además de la interpretación amplia de la legitimación y de los plazos de acceso al contencioso, había también razones técnico-jurídicas para entrar en el fondo del asunto, en el que se tiene que solventar un problema de sucesión normativa, de impugnabilidad de actos y de silencio administrativo. El ponente va, paso a paso, resolviendo los problemas para dar una solución, en mi opinión, incuestionable, al problema de fondo.</w:t>
      </w:r>
    </w:p>
    <w:p w14:paraId="421A206B" w14:textId="77777777" w:rsidR="003060C2" w:rsidRPr="0050041D" w:rsidRDefault="003060C2" w:rsidP="003060C2">
      <w:pPr>
        <w:pStyle w:val="Default"/>
        <w:spacing w:after="120" w:line="360" w:lineRule="auto"/>
        <w:jc w:val="both"/>
        <w:rPr>
          <w:rFonts w:ascii="Arial" w:hAnsi="Arial" w:cs="Arial"/>
        </w:rPr>
      </w:pPr>
      <w:r w:rsidRPr="0050041D">
        <w:rPr>
          <w:rFonts w:ascii="Arial" w:hAnsi="Arial" w:cs="Arial"/>
        </w:rPr>
        <w:t>La empresa titular de una explotación minera solicitó la prórroga de la Declaración de Impacto Ambiental sobre un proyecto de explotación minera (concesión). Si la solicitud de prórroga se realizó el 28 de junio de 2019, fue resuelta positivamente el 7 de julio del año siguiente, esto es, más de un año después, por Orden FYM/668/2020, de 8 de julio, por la que se acuerda la prórroga de la vigencia de la declaración de impacto ambiental sobre el proyecto de explotación de recursos de la sección C), caliza y dolomía, denominada «Las Pedrajas», en el término municipal de Valle de las Navas (Burgos).  Poco más tarde, el 5 de agosto, se inició un procedimiento de expropiación forzosa de los terrenos bajo los cuales se llevaría a cabo la explotación minera.</w:t>
      </w:r>
    </w:p>
    <w:p w14:paraId="7F5A73B9" w14:textId="77777777" w:rsidR="003060C2" w:rsidRPr="0050041D" w:rsidRDefault="003060C2" w:rsidP="003060C2">
      <w:pPr>
        <w:spacing w:after="120"/>
        <w:rPr>
          <w:rFonts w:ascii="Arial" w:hAnsi="Arial" w:cs="Arial"/>
          <w:szCs w:val="24"/>
        </w:rPr>
      </w:pPr>
      <w:r w:rsidRPr="0050041D">
        <w:rPr>
          <w:rFonts w:ascii="Arial" w:hAnsi="Arial" w:cs="Arial"/>
          <w:szCs w:val="24"/>
        </w:rPr>
        <w:t>Un propietario de unas tierras próximas a la explotación impugnó la Orden por entender que se había resuelto extemporáneamente, había incurrido en caducidad y no había habido acto posterior de la Administración sustantiva relativo al proyecto que legitimase la explotación del proyecto.</w:t>
      </w:r>
    </w:p>
    <w:p w14:paraId="4C166BA7" w14:textId="57DEA59C" w:rsidR="003060C2" w:rsidRPr="0050041D" w:rsidRDefault="003060C2" w:rsidP="003060C2">
      <w:pPr>
        <w:pStyle w:val="Default"/>
        <w:spacing w:after="120" w:line="360" w:lineRule="auto"/>
        <w:jc w:val="both"/>
        <w:rPr>
          <w:rFonts w:ascii="Arial" w:hAnsi="Arial" w:cs="Arial"/>
        </w:rPr>
      </w:pPr>
      <w:proofErr w:type="gramStart"/>
      <w:r w:rsidRPr="0050041D">
        <w:rPr>
          <w:rFonts w:ascii="Arial" w:hAnsi="Arial" w:cs="Arial"/>
        </w:rPr>
        <w:lastRenderedPageBreak/>
        <w:t>La primera cuestión a dilucidar</w:t>
      </w:r>
      <w:proofErr w:type="gramEnd"/>
      <w:r w:rsidRPr="0050041D">
        <w:rPr>
          <w:rFonts w:ascii="Arial" w:hAnsi="Arial" w:cs="Arial"/>
        </w:rPr>
        <w:t xml:space="preserve"> es la posible existencia de causas de inadmisibilidad; los demandados (Administración autonómica y empresa explotadora) alegaron la extemporaneidad del recurso (interpuesto el 7 de octubre contra la orden publicada el 8 de julio, lo que superaría en 8 días el plazo de interposición de dos meses). Fueron fechas del núcleo fuerte de la pandemia, con suspensiones de plazos, etc. La propia sentencia reconoce la dificultad legal de poder realizar ese computo de fecha a fecha como corresponde cuando estamos ante plazos señalados por meses desde el momento en que existe una disposición con rango de Ley que declara hábil un periodo concreto de días del mes de agosto y que mantiene la inhabilidad de los sábados, domingos y festivos comprendidos en ese periodo, y también la inhabilitad del periodo que va del 1 al 10 de agosto. Y en estas circunstancias lo más razonable y lógico para no perjudicar al actor o al justiciable que quiere interponer un recurso contencioso-administrativo seria hacer un cómputo por días y considerar que el mes tiene una duración de 30 días y que los dos meses se corresponden con 60 días, </w:t>
      </w:r>
      <w:proofErr w:type="gramStart"/>
      <w:r w:rsidRPr="0050041D">
        <w:rPr>
          <w:rFonts w:ascii="Arial" w:hAnsi="Arial" w:cs="Arial"/>
        </w:rPr>
        <w:t>que</w:t>
      </w:r>
      <w:proofErr w:type="gramEnd"/>
      <w:r w:rsidRPr="0050041D">
        <w:rPr>
          <w:rFonts w:ascii="Arial" w:hAnsi="Arial" w:cs="Arial"/>
        </w:rPr>
        <w:t xml:space="preserve"> aplicados y computados en el caso de autos, en ningún momento podríamos considerar que el recurso se ha interpuesto de forma extemporánea. En definitiva, </w:t>
      </w:r>
      <w:r w:rsidRPr="0050041D">
        <w:rPr>
          <w:rFonts w:ascii="Arial" w:hAnsi="Arial" w:cs="Arial"/>
          <w:i/>
        </w:rPr>
        <w:t xml:space="preserve">pro </w:t>
      </w:r>
      <w:proofErr w:type="spellStart"/>
      <w:r w:rsidRPr="0050041D">
        <w:rPr>
          <w:rFonts w:ascii="Arial" w:hAnsi="Arial" w:cs="Arial"/>
          <w:i/>
        </w:rPr>
        <w:t>actione</w:t>
      </w:r>
      <w:proofErr w:type="spellEnd"/>
      <w:r w:rsidRPr="0050041D">
        <w:rPr>
          <w:rFonts w:ascii="Arial" w:hAnsi="Arial" w:cs="Arial"/>
        </w:rPr>
        <w:t xml:space="preserve"> convierte los dos meses en sesenta días hábiles –en parte por la dificultad de cálculo- y sin hacer el cálculo en cuestión (por si acaso), niega la extemporaneidad. </w:t>
      </w:r>
    </w:p>
    <w:p w14:paraId="5A2B09EA" w14:textId="132CD1CB" w:rsidR="00EF19F7" w:rsidRPr="00EF19F7" w:rsidRDefault="003060C2" w:rsidP="003060C2">
      <w:pPr>
        <w:rPr>
          <w:rFonts w:ascii="Arial" w:hAnsi="Arial"/>
          <w:lang w:val="fr-FR"/>
        </w:rPr>
      </w:pPr>
      <w:r w:rsidRPr="0050041D">
        <w:rPr>
          <w:rFonts w:ascii="Arial" w:hAnsi="Arial" w:cs="Arial"/>
        </w:rPr>
        <w:t xml:space="preserve">Igualmente, se aduce falta de legitimidad porque el recurrente no acredita interés legítimo en el asunto. La sentencia, que podría haberse referido al impacto que una explotación minera produce en el entorno (los efectos de una explotación minera son amplísimos por ruidos, emisiones, transporte, etc.) se apoya sin embargo en el título de propiedad del demandante, que según el catastro es titular de dos parcelas incluidas dentro de otras superiores, </w:t>
      </w:r>
      <w:proofErr w:type="gramStart"/>
      <w:r w:rsidRPr="0050041D">
        <w:rPr>
          <w:rFonts w:ascii="Arial" w:hAnsi="Arial" w:cs="Arial"/>
        </w:rPr>
        <w:t>que</w:t>
      </w:r>
      <w:proofErr w:type="gramEnd"/>
      <w:r w:rsidRPr="0050041D">
        <w:rPr>
          <w:rFonts w:ascii="Arial" w:hAnsi="Arial" w:cs="Arial"/>
        </w:rPr>
        <w:t xml:space="preserve"> aunque no estén claramente delimitadas serán las expropiables. A la espera de que se incluyan o no las parcelas de propiedad del demandante entre los bienes a expropiar, la incertidumbre aconseja aquí igualmente entenderle legitimado en el proceso. En efecto, como señala la Sala sentenciadora,</w:t>
      </w:r>
    </w:p>
    <w:p w14:paraId="6B24B295" w14:textId="58B86033" w:rsidR="00CC15ED" w:rsidRPr="00740B4F" w:rsidRDefault="00CC15ED" w:rsidP="00CC15ED">
      <w:pPr>
        <w:pStyle w:val="Cita"/>
        <w:rPr>
          <w:rFonts w:ascii="Arial" w:hAnsi="Arial"/>
          <w:lang w:val="es-ES_tradnl"/>
        </w:rPr>
      </w:pPr>
      <w:sdt>
        <w:sdtPr>
          <w:rPr>
            <w:rFonts w:ascii="Arial" w:hAnsi="Arial"/>
            <w:lang w:val="fr-FR"/>
          </w:rPr>
          <w:id w:val="-1562627375"/>
          <w:placeholder>
            <w:docPart w:val="C485B2790960482D9276C22394CBA895"/>
          </w:placeholder>
        </w:sdtPr>
        <w:sdtContent>
          <w:r w:rsidR="00E671DD" w:rsidRPr="0050041D">
            <w:rPr>
              <w:rFonts w:ascii="Arial" w:hAnsi="Arial" w:cs="Arial"/>
            </w:rPr>
            <w:t xml:space="preserve">“el actor ha </w:t>
          </w:r>
          <w:proofErr w:type="spellStart"/>
          <w:r w:rsidR="00E671DD" w:rsidRPr="0050041D">
            <w:rPr>
              <w:rFonts w:ascii="Arial" w:hAnsi="Arial" w:cs="Arial"/>
            </w:rPr>
            <w:t>acreditado</w:t>
          </w:r>
          <w:proofErr w:type="spellEnd"/>
          <w:r w:rsidR="00E671DD" w:rsidRPr="0050041D">
            <w:rPr>
              <w:rFonts w:ascii="Arial" w:hAnsi="Arial" w:cs="Arial"/>
            </w:rPr>
            <w:t xml:space="preserve"> ser titular </w:t>
          </w:r>
          <w:proofErr w:type="spellStart"/>
          <w:r w:rsidR="00E671DD" w:rsidRPr="0050041D">
            <w:rPr>
              <w:rFonts w:ascii="Arial" w:hAnsi="Arial" w:cs="Arial"/>
            </w:rPr>
            <w:t>catastral</w:t>
          </w:r>
          <w:proofErr w:type="spellEnd"/>
          <w:r w:rsidR="00E671DD" w:rsidRPr="0050041D">
            <w:rPr>
              <w:rFonts w:ascii="Arial" w:hAnsi="Arial" w:cs="Arial"/>
            </w:rPr>
            <w:t xml:space="preserve"> de </w:t>
          </w:r>
          <w:proofErr w:type="spellStart"/>
          <w:r w:rsidR="00E671DD" w:rsidRPr="0050041D">
            <w:rPr>
              <w:rFonts w:ascii="Arial" w:hAnsi="Arial" w:cs="Arial"/>
            </w:rPr>
            <w:t>varias</w:t>
          </w:r>
          <w:proofErr w:type="spellEnd"/>
          <w:r w:rsidR="00E671DD" w:rsidRPr="0050041D">
            <w:rPr>
              <w:rFonts w:ascii="Arial" w:hAnsi="Arial" w:cs="Arial"/>
            </w:rPr>
            <w:t xml:space="preserve"> </w:t>
          </w:r>
          <w:proofErr w:type="spellStart"/>
          <w:r w:rsidR="00E671DD" w:rsidRPr="0050041D">
            <w:rPr>
              <w:rFonts w:ascii="Arial" w:hAnsi="Arial" w:cs="Arial"/>
            </w:rPr>
            <w:t>parcelas</w:t>
          </w:r>
          <w:proofErr w:type="spellEnd"/>
          <w:r w:rsidR="00E671DD" w:rsidRPr="0050041D">
            <w:rPr>
              <w:rFonts w:ascii="Arial" w:hAnsi="Arial" w:cs="Arial"/>
            </w:rPr>
            <w:t xml:space="preserve"> </w:t>
          </w:r>
          <w:proofErr w:type="spellStart"/>
          <w:r w:rsidR="00E671DD" w:rsidRPr="0050041D">
            <w:rPr>
              <w:rFonts w:ascii="Arial" w:hAnsi="Arial" w:cs="Arial"/>
            </w:rPr>
            <w:t>comprendidas</w:t>
          </w:r>
          <w:proofErr w:type="spellEnd"/>
          <w:r w:rsidR="00E671DD" w:rsidRPr="0050041D">
            <w:rPr>
              <w:rFonts w:ascii="Arial" w:hAnsi="Arial" w:cs="Arial"/>
            </w:rPr>
            <w:t xml:space="preserve"> </w:t>
          </w:r>
          <w:proofErr w:type="spellStart"/>
          <w:r w:rsidR="00E671DD" w:rsidRPr="0050041D">
            <w:rPr>
              <w:rFonts w:ascii="Arial" w:hAnsi="Arial" w:cs="Arial"/>
            </w:rPr>
            <w:t>dentro</w:t>
          </w:r>
          <w:proofErr w:type="spellEnd"/>
          <w:r w:rsidR="00E671DD" w:rsidRPr="0050041D">
            <w:rPr>
              <w:rFonts w:ascii="Arial" w:hAnsi="Arial" w:cs="Arial"/>
            </w:rPr>
            <w:t xml:space="preserve"> de </w:t>
          </w:r>
          <w:proofErr w:type="spellStart"/>
          <w:r w:rsidR="00E671DD" w:rsidRPr="0050041D">
            <w:rPr>
              <w:rFonts w:ascii="Arial" w:hAnsi="Arial" w:cs="Arial"/>
            </w:rPr>
            <w:t>dicha</w:t>
          </w:r>
          <w:proofErr w:type="spellEnd"/>
          <w:r w:rsidR="00E671DD" w:rsidRPr="0050041D">
            <w:rPr>
              <w:rFonts w:ascii="Arial" w:hAnsi="Arial" w:cs="Arial"/>
            </w:rPr>
            <w:t xml:space="preserve"> </w:t>
          </w:r>
          <w:proofErr w:type="spellStart"/>
          <w:r w:rsidR="00E671DD" w:rsidRPr="0050041D">
            <w:rPr>
              <w:rFonts w:ascii="Arial" w:hAnsi="Arial" w:cs="Arial"/>
            </w:rPr>
            <w:t>relación</w:t>
          </w:r>
          <w:proofErr w:type="spellEnd"/>
          <w:r w:rsidR="00E671DD" w:rsidRPr="0050041D">
            <w:rPr>
              <w:rFonts w:ascii="Arial" w:hAnsi="Arial" w:cs="Arial"/>
            </w:rPr>
            <w:t xml:space="preserve"> (…) y como </w:t>
          </w:r>
          <w:proofErr w:type="spellStart"/>
          <w:r w:rsidR="00E671DD" w:rsidRPr="0050041D">
            <w:rPr>
              <w:rFonts w:ascii="Arial" w:hAnsi="Arial" w:cs="Arial"/>
            </w:rPr>
            <w:t>quiera</w:t>
          </w:r>
          <w:proofErr w:type="spellEnd"/>
          <w:r w:rsidR="00E671DD" w:rsidRPr="0050041D">
            <w:rPr>
              <w:rFonts w:ascii="Arial" w:hAnsi="Arial" w:cs="Arial"/>
            </w:rPr>
            <w:t xml:space="preserve"> que no </w:t>
          </w:r>
          <w:proofErr w:type="spellStart"/>
          <w:r w:rsidR="00E671DD" w:rsidRPr="0050041D">
            <w:rPr>
              <w:rFonts w:ascii="Arial" w:hAnsi="Arial" w:cs="Arial"/>
            </w:rPr>
            <w:t>corresponde</w:t>
          </w:r>
          <w:proofErr w:type="spellEnd"/>
          <w:r w:rsidR="00E671DD" w:rsidRPr="0050041D">
            <w:rPr>
              <w:rFonts w:ascii="Arial" w:hAnsi="Arial" w:cs="Arial"/>
            </w:rPr>
            <w:t xml:space="preserve"> a este </w:t>
          </w:r>
          <w:proofErr w:type="spellStart"/>
          <w:r w:rsidR="00E671DD" w:rsidRPr="0050041D">
            <w:rPr>
              <w:rFonts w:ascii="Arial" w:hAnsi="Arial" w:cs="Arial"/>
            </w:rPr>
            <w:t>procedimiento</w:t>
          </w:r>
          <w:proofErr w:type="spellEnd"/>
          <w:r w:rsidR="00E671DD" w:rsidRPr="0050041D">
            <w:rPr>
              <w:rFonts w:ascii="Arial" w:hAnsi="Arial" w:cs="Arial"/>
            </w:rPr>
            <w:t xml:space="preserve"> y sí al </w:t>
          </w:r>
          <w:proofErr w:type="spellStart"/>
          <w:r w:rsidR="00E671DD" w:rsidRPr="0050041D">
            <w:rPr>
              <w:rFonts w:ascii="Arial" w:hAnsi="Arial" w:cs="Arial"/>
            </w:rPr>
            <w:t>procedimiento</w:t>
          </w:r>
          <w:proofErr w:type="spellEnd"/>
          <w:r w:rsidR="00E671DD" w:rsidRPr="0050041D">
            <w:rPr>
              <w:rFonts w:ascii="Arial" w:hAnsi="Arial" w:cs="Arial"/>
            </w:rPr>
            <w:t xml:space="preserve"> </w:t>
          </w:r>
          <w:proofErr w:type="spellStart"/>
          <w:r w:rsidR="00E671DD" w:rsidRPr="0050041D">
            <w:rPr>
              <w:rFonts w:ascii="Arial" w:hAnsi="Arial" w:cs="Arial"/>
            </w:rPr>
            <w:t>expropiatorio</w:t>
          </w:r>
          <w:proofErr w:type="spellEnd"/>
          <w:r w:rsidR="00E671DD" w:rsidRPr="0050041D">
            <w:rPr>
              <w:rFonts w:ascii="Arial" w:hAnsi="Arial" w:cs="Arial"/>
            </w:rPr>
            <w:t xml:space="preserve"> que se </w:t>
          </w:r>
          <w:proofErr w:type="spellStart"/>
          <w:r w:rsidR="00E671DD" w:rsidRPr="0050041D">
            <w:rPr>
              <w:rFonts w:ascii="Arial" w:hAnsi="Arial" w:cs="Arial"/>
            </w:rPr>
            <w:t>encuentra</w:t>
          </w:r>
          <w:proofErr w:type="spellEnd"/>
          <w:r w:rsidR="00E671DD" w:rsidRPr="0050041D">
            <w:rPr>
              <w:rFonts w:ascii="Arial" w:hAnsi="Arial" w:cs="Arial"/>
            </w:rPr>
            <w:t xml:space="preserve"> en </w:t>
          </w:r>
          <w:proofErr w:type="spellStart"/>
          <w:r w:rsidR="00E671DD" w:rsidRPr="0050041D">
            <w:rPr>
              <w:rFonts w:ascii="Arial" w:hAnsi="Arial" w:cs="Arial"/>
            </w:rPr>
            <w:lastRenderedPageBreak/>
            <w:t>tramitación</w:t>
          </w:r>
          <w:proofErr w:type="spellEnd"/>
          <w:r w:rsidR="00E671DD" w:rsidRPr="0050041D">
            <w:rPr>
              <w:rFonts w:ascii="Arial" w:hAnsi="Arial" w:cs="Arial"/>
            </w:rPr>
            <w:t xml:space="preserve"> dilucidar si </w:t>
          </w:r>
          <w:proofErr w:type="spellStart"/>
          <w:r w:rsidR="00E671DD" w:rsidRPr="0050041D">
            <w:rPr>
              <w:rFonts w:ascii="Arial" w:hAnsi="Arial" w:cs="Arial"/>
            </w:rPr>
            <w:t>todas</w:t>
          </w:r>
          <w:proofErr w:type="spellEnd"/>
          <w:r w:rsidR="00E671DD" w:rsidRPr="0050041D">
            <w:rPr>
              <w:rFonts w:ascii="Arial" w:hAnsi="Arial" w:cs="Arial"/>
            </w:rPr>
            <w:t xml:space="preserve"> o alguna de las </w:t>
          </w:r>
          <w:proofErr w:type="spellStart"/>
          <w:r w:rsidR="00E671DD" w:rsidRPr="0050041D">
            <w:rPr>
              <w:rFonts w:ascii="Arial" w:hAnsi="Arial" w:cs="Arial"/>
            </w:rPr>
            <w:t>parcelas</w:t>
          </w:r>
          <w:proofErr w:type="spellEnd"/>
          <w:r w:rsidR="00E671DD" w:rsidRPr="0050041D">
            <w:rPr>
              <w:rFonts w:ascii="Arial" w:hAnsi="Arial" w:cs="Arial"/>
            </w:rPr>
            <w:t xml:space="preserve"> que el actor afirma ser de </w:t>
          </w:r>
          <w:proofErr w:type="spellStart"/>
          <w:r w:rsidR="00E671DD" w:rsidRPr="0050041D">
            <w:rPr>
              <w:rFonts w:ascii="Arial" w:hAnsi="Arial" w:cs="Arial"/>
            </w:rPr>
            <w:t>su</w:t>
          </w:r>
          <w:proofErr w:type="spellEnd"/>
          <w:r w:rsidR="00E671DD" w:rsidRPr="0050041D">
            <w:rPr>
              <w:rFonts w:ascii="Arial" w:hAnsi="Arial" w:cs="Arial"/>
            </w:rPr>
            <w:t xml:space="preserve"> </w:t>
          </w:r>
          <w:proofErr w:type="spellStart"/>
          <w:r w:rsidR="00E671DD" w:rsidRPr="0050041D">
            <w:rPr>
              <w:rFonts w:ascii="Arial" w:hAnsi="Arial" w:cs="Arial"/>
            </w:rPr>
            <w:t>titularidad</w:t>
          </w:r>
          <w:proofErr w:type="spellEnd"/>
          <w:r w:rsidR="00E671DD" w:rsidRPr="0050041D">
            <w:rPr>
              <w:rFonts w:ascii="Arial" w:hAnsi="Arial" w:cs="Arial"/>
            </w:rPr>
            <w:t xml:space="preserve"> se </w:t>
          </w:r>
          <w:proofErr w:type="spellStart"/>
          <w:r w:rsidR="00E671DD" w:rsidRPr="0050041D">
            <w:rPr>
              <w:rFonts w:ascii="Arial" w:hAnsi="Arial" w:cs="Arial"/>
            </w:rPr>
            <w:t>encuentran</w:t>
          </w:r>
          <w:proofErr w:type="spellEnd"/>
          <w:r w:rsidR="00E671DD" w:rsidRPr="0050041D">
            <w:rPr>
              <w:rFonts w:ascii="Arial" w:hAnsi="Arial" w:cs="Arial"/>
            </w:rPr>
            <w:t xml:space="preserve"> o no </w:t>
          </w:r>
          <w:proofErr w:type="spellStart"/>
          <w:r w:rsidR="00E671DD" w:rsidRPr="0050041D">
            <w:rPr>
              <w:rFonts w:ascii="Arial" w:hAnsi="Arial" w:cs="Arial"/>
            </w:rPr>
            <w:t>comprendidas</w:t>
          </w:r>
          <w:proofErr w:type="spellEnd"/>
          <w:r w:rsidR="00E671DD" w:rsidRPr="0050041D">
            <w:rPr>
              <w:rFonts w:ascii="Arial" w:hAnsi="Arial" w:cs="Arial"/>
            </w:rPr>
            <w:t xml:space="preserve"> </w:t>
          </w:r>
          <w:proofErr w:type="spellStart"/>
          <w:r w:rsidR="00E671DD" w:rsidRPr="0050041D">
            <w:rPr>
              <w:rFonts w:ascii="Arial" w:hAnsi="Arial" w:cs="Arial"/>
            </w:rPr>
            <w:t>dentro</w:t>
          </w:r>
          <w:proofErr w:type="spellEnd"/>
          <w:r w:rsidR="00E671DD" w:rsidRPr="0050041D">
            <w:rPr>
              <w:rFonts w:ascii="Arial" w:hAnsi="Arial" w:cs="Arial"/>
            </w:rPr>
            <w:t xml:space="preserve"> del </w:t>
          </w:r>
          <w:proofErr w:type="spellStart"/>
          <w:r w:rsidR="00E671DD" w:rsidRPr="0050041D">
            <w:rPr>
              <w:rFonts w:ascii="Arial" w:hAnsi="Arial" w:cs="Arial"/>
            </w:rPr>
            <w:t>área</w:t>
          </w:r>
          <w:proofErr w:type="spellEnd"/>
          <w:r w:rsidR="00E671DD" w:rsidRPr="0050041D">
            <w:rPr>
              <w:rFonts w:ascii="Arial" w:hAnsi="Arial" w:cs="Arial"/>
            </w:rPr>
            <w:t xml:space="preserve"> definida por las </w:t>
          </w:r>
          <w:proofErr w:type="spellStart"/>
          <w:r w:rsidR="00E671DD" w:rsidRPr="0050041D">
            <w:rPr>
              <w:rFonts w:ascii="Arial" w:hAnsi="Arial" w:cs="Arial"/>
            </w:rPr>
            <w:t>coordenadas</w:t>
          </w:r>
          <w:proofErr w:type="spellEnd"/>
          <w:r w:rsidR="00E671DD" w:rsidRPr="0050041D">
            <w:rPr>
              <w:rFonts w:ascii="Arial" w:hAnsi="Arial" w:cs="Arial"/>
            </w:rPr>
            <w:t xml:space="preserve"> </w:t>
          </w:r>
          <w:proofErr w:type="spellStart"/>
          <w:r w:rsidR="00E671DD" w:rsidRPr="0050041D">
            <w:rPr>
              <w:rFonts w:ascii="Arial" w:hAnsi="Arial" w:cs="Arial"/>
            </w:rPr>
            <w:t>reseñadas</w:t>
          </w:r>
          <w:proofErr w:type="spellEnd"/>
          <w:r w:rsidR="00E671DD" w:rsidRPr="0050041D">
            <w:rPr>
              <w:rFonts w:ascii="Arial" w:hAnsi="Arial" w:cs="Arial"/>
            </w:rPr>
            <w:t xml:space="preserve"> en </w:t>
          </w:r>
          <w:proofErr w:type="spellStart"/>
          <w:r w:rsidR="00E671DD" w:rsidRPr="0050041D">
            <w:rPr>
              <w:rFonts w:ascii="Arial" w:hAnsi="Arial" w:cs="Arial"/>
            </w:rPr>
            <w:t>dicho</w:t>
          </w:r>
          <w:proofErr w:type="spellEnd"/>
          <w:r w:rsidR="00E671DD" w:rsidRPr="0050041D">
            <w:rPr>
              <w:rFonts w:ascii="Arial" w:hAnsi="Arial" w:cs="Arial"/>
            </w:rPr>
            <w:t xml:space="preserve"> anuncio, es por lo que </w:t>
          </w:r>
          <w:proofErr w:type="spellStart"/>
          <w:r w:rsidR="00E671DD" w:rsidRPr="0050041D">
            <w:rPr>
              <w:rFonts w:ascii="Arial" w:hAnsi="Arial" w:cs="Arial"/>
            </w:rPr>
            <w:t>debemos</w:t>
          </w:r>
          <w:proofErr w:type="spellEnd"/>
          <w:r w:rsidR="00E671DD" w:rsidRPr="0050041D">
            <w:rPr>
              <w:rFonts w:ascii="Arial" w:hAnsi="Arial" w:cs="Arial"/>
            </w:rPr>
            <w:t xml:space="preserve"> </w:t>
          </w:r>
          <w:proofErr w:type="spellStart"/>
          <w:r w:rsidR="00E671DD" w:rsidRPr="0050041D">
            <w:rPr>
              <w:rFonts w:ascii="Arial" w:hAnsi="Arial" w:cs="Arial"/>
            </w:rPr>
            <w:t>concluir</w:t>
          </w:r>
          <w:proofErr w:type="spellEnd"/>
          <w:r w:rsidR="00E671DD" w:rsidRPr="0050041D">
            <w:rPr>
              <w:rFonts w:ascii="Arial" w:hAnsi="Arial" w:cs="Arial"/>
            </w:rPr>
            <w:t xml:space="preserve"> en el </w:t>
          </w:r>
          <w:proofErr w:type="spellStart"/>
          <w:r w:rsidR="00E671DD" w:rsidRPr="0050041D">
            <w:rPr>
              <w:rFonts w:ascii="Arial" w:hAnsi="Arial" w:cs="Arial"/>
            </w:rPr>
            <w:t>presente</w:t>
          </w:r>
          <w:proofErr w:type="spellEnd"/>
          <w:r w:rsidR="00E671DD" w:rsidRPr="0050041D">
            <w:rPr>
              <w:rFonts w:ascii="Arial" w:hAnsi="Arial" w:cs="Arial"/>
            </w:rPr>
            <w:t xml:space="preserve"> </w:t>
          </w:r>
          <w:proofErr w:type="spellStart"/>
          <w:r w:rsidR="00E671DD" w:rsidRPr="0050041D">
            <w:rPr>
              <w:rFonts w:ascii="Arial" w:hAnsi="Arial" w:cs="Arial"/>
            </w:rPr>
            <w:t>procedimiento</w:t>
          </w:r>
          <w:proofErr w:type="spellEnd"/>
          <w:r w:rsidR="00E671DD" w:rsidRPr="0050041D">
            <w:rPr>
              <w:rFonts w:ascii="Arial" w:hAnsi="Arial" w:cs="Arial"/>
            </w:rPr>
            <w:t xml:space="preserve"> que por la </w:t>
          </w:r>
          <w:proofErr w:type="spellStart"/>
          <w:r w:rsidR="00E671DD" w:rsidRPr="0050041D">
            <w:rPr>
              <w:rFonts w:ascii="Arial" w:hAnsi="Arial" w:cs="Arial"/>
            </w:rPr>
            <w:t>parte</w:t>
          </w:r>
          <w:proofErr w:type="spellEnd"/>
          <w:r w:rsidR="00E671DD" w:rsidRPr="0050041D">
            <w:rPr>
              <w:rFonts w:ascii="Arial" w:hAnsi="Arial" w:cs="Arial"/>
            </w:rPr>
            <w:t xml:space="preserve"> actora se ha </w:t>
          </w:r>
          <w:proofErr w:type="spellStart"/>
          <w:r w:rsidR="00E671DD" w:rsidRPr="0050041D">
            <w:rPr>
              <w:rFonts w:ascii="Arial" w:hAnsi="Arial" w:cs="Arial"/>
            </w:rPr>
            <w:t>acreditado</w:t>
          </w:r>
          <w:proofErr w:type="spellEnd"/>
          <w:r w:rsidR="00E671DD" w:rsidRPr="0050041D">
            <w:rPr>
              <w:rFonts w:ascii="Arial" w:hAnsi="Arial" w:cs="Arial"/>
            </w:rPr>
            <w:t xml:space="preserve"> una </w:t>
          </w:r>
          <w:proofErr w:type="spellStart"/>
          <w:r w:rsidR="00E671DD" w:rsidRPr="0050041D">
            <w:rPr>
              <w:rFonts w:ascii="Arial" w:hAnsi="Arial" w:cs="Arial"/>
            </w:rPr>
            <w:t>legitimación</w:t>
          </w:r>
          <w:proofErr w:type="spellEnd"/>
          <w:r w:rsidR="00E671DD" w:rsidRPr="0050041D">
            <w:rPr>
              <w:rFonts w:ascii="Arial" w:hAnsi="Arial" w:cs="Arial"/>
            </w:rPr>
            <w:t xml:space="preserve"> </w:t>
          </w:r>
          <w:proofErr w:type="spellStart"/>
          <w:r w:rsidR="00E671DD" w:rsidRPr="0050041D">
            <w:rPr>
              <w:rFonts w:ascii="Arial" w:hAnsi="Arial" w:cs="Arial"/>
            </w:rPr>
            <w:t>suficiente</w:t>
          </w:r>
          <w:proofErr w:type="spellEnd"/>
          <w:r w:rsidR="00E671DD" w:rsidRPr="0050041D">
            <w:rPr>
              <w:rFonts w:ascii="Arial" w:hAnsi="Arial" w:cs="Arial"/>
            </w:rPr>
            <w:t xml:space="preserve"> para poder </w:t>
          </w:r>
          <w:proofErr w:type="spellStart"/>
          <w:r w:rsidR="00E671DD" w:rsidRPr="0050041D">
            <w:rPr>
              <w:rFonts w:ascii="Arial" w:hAnsi="Arial" w:cs="Arial"/>
            </w:rPr>
            <w:t>interponer</w:t>
          </w:r>
          <w:proofErr w:type="spellEnd"/>
          <w:r w:rsidR="00E671DD" w:rsidRPr="0050041D">
            <w:rPr>
              <w:rFonts w:ascii="Arial" w:hAnsi="Arial" w:cs="Arial"/>
            </w:rPr>
            <w:t xml:space="preserve"> el </w:t>
          </w:r>
          <w:proofErr w:type="spellStart"/>
          <w:r w:rsidR="00E671DD" w:rsidRPr="0050041D">
            <w:rPr>
              <w:rFonts w:ascii="Arial" w:hAnsi="Arial" w:cs="Arial"/>
            </w:rPr>
            <w:t>presente</w:t>
          </w:r>
          <w:proofErr w:type="spellEnd"/>
          <w:r w:rsidR="00E671DD" w:rsidRPr="0050041D">
            <w:rPr>
              <w:rFonts w:ascii="Arial" w:hAnsi="Arial" w:cs="Arial"/>
            </w:rPr>
            <w:t xml:space="preserve"> </w:t>
          </w:r>
          <w:proofErr w:type="spellStart"/>
          <w:r w:rsidR="00E671DD" w:rsidRPr="0050041D">
            <w:rPr>
              <w:rFonts w:ascii="Arial" w:hAnsi="Arial" w:cs="Arial"/>
            </w:rPr>
            <w:t>recurso</w:t>
          </w:r>
          <w:proofErr w:type="spellEnd"/>
          <w:r w:rsidR="00E671DD" w:rsidRPr="0050041D">
            <w:rPr>
              <w:rFonts w:ascii="Arial" w:hAnsi="Arial" w:cs="Arial"/>
            </w:rPr>
            <w:t xml:space="preserve">, y </w:t>
          </w:r>
          <w:proofErr w:type="spellStart"/>
          <w:r w:rsidR="00E671DD" w:rsidRPr="0050041D">
            <w:rPr>
              <w:rFonts w:ascii="Arial" w:hAnsi="Arial" w:cs="Arial"/>
            </w:rPr>
            <w:t>ello</w:t>
          </w:r>
          <w:proofErr w:type="spellEnd"/>
          <w:r w:rsidR="00E671DD" w:rsidRPr="0050041D">
            <w:rPr>
              <w:rFonts w:ascii="Arial" w:hAnsi="Arial" w:cs="Arial"/>
            </w:rPr>
            <w:t xml:space="preserve"> </w:t>
          </w:r>
          <w:proofErr w:type="spellStart"/>
          <w:r w:rsidR="00E671DD" w:rsidRPr="0050041D">
            <w:rPr>
              <w:rFonts w:ascii="Arial" w:hAnsi="Arial" w:cs="Arial"/>
            </w:rPr>
            <w:t>sin</w:t>
          </w:r>
          <w:proofErr w:type="spellEnd"/>
          <w:r w:rsidR="00E671DD" w:rsidRPr="0050041D">
            <w:rPr>
              <w:rFonts w:ascii="Arial" w:hAnsi="Arial" w:cs="Arial"/>
            </w:rPr>
            <w:t xml:space="preserve"> </w:t>
          </w:r>
          <w:proofErr w:type="spellStart"/>
          <w:r w:rsidR="00E671DD" w:rsidRPr="0050041D">
            <w:rPr>
              <w:rFonts w:ascii="Arial" w:hAnsi="Arial" w:cs="Arial"/>
            </w:rPr>
            <w:t>perjuicio</w:t>
          </w:r>
          <w:proofErr w:type="spellEnd"/>
          <w:r w:rsidR="00E671DD" w:rsidRPr="0050041D">
            <w:rPr>
              <w:rFonts w:ascii="Arial" w:hAnsi="Arial" w:cs="Arial"/>
            </w:rPr>
            <w:t xml:space="preserve"> de lo que </w:t>
          </w:r>
          <w:proofErr w:type="spellStart"/>
          <w:r w:rsidR="00E671DD" w:rsidRPr="0050041D">
            <w:rPr>
              <w:rFonts w:ascii="Arial" w:hAnsi="Arial" w:cs="Arial"/>
            </w:rPr>
            <w:t>posteriormente</w:t>
          </w:r>
          <w:proofErr w:type="spellEnd"/>
          <w:r w:rsidR="00E671DD" w:rsidRPr="0050041D">
            <w:rPr>
              <w:rFonts w:ascii="Arial" w:hAnsi="Arial" w:cs="Arial"/>
            </w:rPr>
            <w:t xml:space="preserve"> </w:t>
          </w:r>
          <w:proofErr w:type="spellStart"/>
          <w:r w:rsidR="00E671DD" w:rsidRPr="0050041D">
            <w:rPr>
              <w:rFonts w:ascii="Arial" w:hAnsi="Arial" w:cs="Arial"/>
            </w:rPr>
            <w:t>pueda</w:t>
          </w:r>
          <w:proofErr w:type="spellEnd"/>
          <w:r w:rsidR="00E671DD" w:rsidRPr="0050041D">
            <w:rPr>
              <w:rFonts w:ascii="Arial" w:hAnsi="Arial" w:cs="Arial"/>
            </w:rPr>
            <w:t xml:space="preserve"> </w:t>
          </w:r>
          <w:proofErr w:type="spellStart"/>
          <w:r w:rsidR="00E671DD" w:rsidRPr="0050041D">
            <w:rPr>
              <w:rFonts w:ascii="Arial" w:hAnsi="Arial" w:cs="Arial"/>
            </w:rPr>
            <w:t>dilucidarse</w:t>
          </w:r>
          <w:proofErr w:type="spellEnd"/>
          <w:r w:rsidR="00E671DD" w:rsidRPr="0050041D">
            <w:rPr>
              <w:rFonts w:ascii="Arial" w:hAnsi="Arial" w:cs="Arial"/>
            </w:rPr>
            <w:t xml:space="preserve"> en el </w:t>
          </w:r>
          <w:proofErr w:type="spellStart"/>
          <w:r w:rsidR="00E671DD" w:rsidRPr="0050041D">
            <w:rPr>
              <w:rFonts w:ascii="Arial" w:hAnsi="Arial" w:cs="Arial"/>
            </w:rPr>
            <w:t>citado</w:t>
          </w:r>
          <w:proofErr w:type="spellEnd"/>
          <w:r w:rsidR="00E671DD" w:rsidRPr="0050041D">
            <w:rPr>
              <w:rFonts w:ascii="Arial" w:hAnsi="Arial" w:cs="Arial"/>
            </w:rPr>
            <w:t xml:space="preserve"> </w:t>
          </w:r>
          <w:proofErr w:type="spellStart"/>
          <w:r w:rsidR="00E671DD" w:rsidRPr="0050041D">
            <w:rPr>
              <w:rFonts w:ascii="Arial" w:hAnsi="Arial" w:cs="Arial"/>
            </w:rPr>
            <w:t>expediente</w:t>
          </w:r>
          <w:proofErr w:type="spellEnd"/>
          <w:r w:rsidR="00E671DD" w:rsidRPr="0050041D">
            <w:rPr>
              <w:rFonts w:ascii="Arial" w:hAnsi="Arial" w:cs="Arial"/>
            </w:rPr>
            <w:t xml:space="preserve"> </w:t>
          </w:r>
          <w:proofErr w:type="spellStart"/>
          <w:r w:rsidR="00E671DD" w:rsidRPr="0050041D">
            <w:rPr>
              <w:rFonts w:ascii="Arial" w:hAnsi="Arial" w:cs="Arial"/>
            </w:rPr>
            <w:t>expropiatorio</w:t>
          </w:r>
          <w:proofErr w:type="spellEnd"/>
          <w:r w:rsidR="00E671DD" w:rsidRPr="0050041D">
            <w:rPr>
              <w:rFonts w:ascii="Arial" w:hAnsi="Arial" w:cs="Arial"/>
            </w:rPr>
            <w:t xml:space="preserve">. De </w:t>
          </w:r>
          <w:proofErr w:type="spellStart"/>
          <w:r w:rsidR="00E671DD" w:rsidRPr="0050041D">
            <w:rPr>
              <w:rFonts w:ascii="Arial" w:hAnsi="Arial" w:cs="Arial"/>
            </w:rPr>
            <w:t>rechazarse</w:t>
          </w:r>
          <w:proofErr w:type="spellEnd"/>
          <w:r w:rsidR="00E671DD" w:rsidRPr="0050041D">
            <w:rPr>
              <w:rFonts w:ascii="Arial" w:hAnsi="Arial" w:cs="Arial"/>
            </w:rPr>
            <w:t xml:space="preserve"> </w:t>
          </w:r>
          <w:proofErr w:type="spellStart"/>
          <w:r w:rsidR="00E671DD" w:rsidRPr="0050041D">
            <w:rPr>
              <w:rFonts w:ascii="Arial" w:hAnsi="Arial" w:cs="Arial"/>
            </w:rPr>
            <w:t>dicha</w:t>
          </w:r>
          <w:proofErr w:type="spellEnd"/>
          <w:r w:rsidR="00E671DD" w:rsidRPr="0050041D">
            <w:rPr>
              <w:rFonts w:ascii="Arial" w:hAnsi="Arial" w:cs="Arial"/>
            </w:rPr>
            <w:t xml:space="preserve"> </w:t>
          </w:r>
          <w:proofErr w:type="spellStart"/>
          <w:r w:rsidR="00E671DD" w:rsidRPr="0050041D">
            <w:rPr>
              <w:rFonts w:ascii="Arial" w:hAnsi="Arial" w:cs="Arial"/>
            </w:rPr>
            <w:t>legitimación</w:t>
          </w:r>
          <w:proofErr w:type="spellEnd"/>
          <w:r w:rsidR="00E671DD" w:rsidRPr="0050041D">
            <w:rPr>
              <w:rFonts w:ascii="Arial" w:hAnsi="Arial" w:cs="Arial"/>
            </w:rPr>
            <w:t xml:space="preserve"> se </w:t>
          </w:r>
          <w:proofErr w:type="spellStart"/>
          <w:r w:rsidR="00E671DD" w:rsidRPr="0050041D">
            <w:rPr>
              <w:rFonts w:ascii="Arial" w:hAnsi="Arial" w:cs="Arial"/>
            </w:rPr>
            <w:t>estaría</w:t>
          </w:r>
          <w:proofErr w:type="spellEnd"/>
          <w:r w:rsidR="00E671DD" w:rsidRPr="0050041D">
            <w:rPr>
              <w:rFonts w:ascii="Arial" w:hAnsi="Arial" w:cs="Arial"/>
            </w:rPr>
            <w:t xml:space="preserve"> </w:t>
          </w:r>
          <w:proofErr w:type="spellStart"/>
          <w:r w:rsidR="00E671DD" w:rsidRPr="0050041D">
            <w:rPr>
              <w:rFonts w:ascii="Arial" w:hAnsi="Arial" w:cs="Arial"/>
            </w:rPr>
            <w:t>infringiendo</w:t>
          </w:r>
          <w:proofErr w:type="spellEnd"/>
          <w:r w:rsidR="00E671DD" w:rsidRPr="0050041D">
            <w:rPr>
              <w:rFonts w:ascii="Arial" w:hAnsi="Arial" w:cs="Arial"/>
            </w:rPr>
            <w:t xml:space="preserve"> </w:t>
          </w:r>
          <w:proofErr w:type="spellStart"/>
          <w:r w:rsidR="00E671DD" w:rsidRPr="0050041D">
            <w:rPr>
              <w:rFonts w:ascii="Arial" w:hAnsi="Arial" w:cs="Arial"/>
            </w:rPr>
            <w:t>su</w:t>
          </w:r>
          <w:proofErr w:type="spellEnd"/>
          <w:r w:rsidR="00E671DD" w:rsidRPr="0050041D">
            <w:rPr>
              <w:rFonts w:ascii="Arial" w:hAnsi="Arial" w:cs="Arial"/>
            </w:rPr>
            <w:t xml:space="preserve"> </w:t>
          </w:r>
          <w:proofErr w:type="spellStart"/>
          <w:r w:rsidR="00E671DD" w:rsidRPr="0050041D">
            <w:rPr>
              <w:rFonts w:ascii="Arial" w:hAnsi="Arial" w:cs="Arial"/>
            </w:rPr>
            <w:t>derecho</w:t>
          </w:r>
          <w:proofErr w:type="spellEnd"/>
          <w:r w:rsidR="00E671DD" w:rsidRPr="0050041D">
            <w:rPr>
              <w:rFonts w:ascii="Arial" w:hAnsi="Arial" w:cs="Arial"/>
            </w:rPr>
            <w:t xml:space="preserve"> a la tutela judicial efectiva”.</w:t>
          </w:r>
        </w:sdtContent>
      </w:sdt>
    </w:p>
    <w:p w14:paraId="3E6CD69D" w14:textId="0D7B1FAD" w:rsidR="00CE7F6A" w:rsidRPr="0050041D" w:rsidRDefault="00CE7F6A" w:rsidP="00CE7F6A">
      <w:pPr>
        <w:pStyle w:val="Default"/>
        <w:spacing w:after="120" w:line="360" w:lineRule="auto"/>
        <w:jc w:val="both"/>
        <w:rPr>
          <w:rFonts w:ascii="Arial" w:hAnsi="Arial" w:cs="Arial"/>
        </w:rPr>
      </w:pPr>
      <w:r w:rsidRPr="0050041D">
        <w:rPr>
          <w:rFonts w:ascii="Arial" w:hAnsi="Arial" w:cs="Arial"/>
        </w:rPr>
        <w:t>Finalmente, se alegó que la declaración de prórroga incluida en la Orden no constituye un acto impugnable en los términos del art. 25 LJCA, porque solo pueden recurrirse los actos definitivos y los de trámite cualificado, mientras que las declaraciones de impacto, según una reiterada jurisprudencia, son actos de trámite no-cualificado y no susceptibles de recurso. Aquí la Sala plantea nuevamente una solución imaginativa y, con toda seguridad, correcta.</w:t>
      </w:r>
    </w:p>
    <w:p w14:paraId="70722012" w14:textId="77777777" w:rsidR="00CE7F6A" w:rsidRPr="0050041D" w:rsidRDefault="00CE7F6A" w:rsidP="00CE7F6A">
      <w:pPr>
        <w:pStyle w:val="Default"/>
        <w:spacing w:after="120" w:line="360" w:lineRule="auto"/>
        <w:jc w:val="both"/>
        <w:rPr>
          <w:rFonts w:ascii="Arial" w:hAnsi="Arial" w:cs="Arial"/>
        </w:rPr>
      </w:pPr>
      <w:r w:rsidRPr="0050041D">
        <w:rPr>
          <w:rFonts w:ascii="Arial" w:hAnsi="Arial" w:cs="Arial"/>
        </w:rPr>
        <w:t>En efecto, la Sala defiende que la concesión de la prórroga se debe considerar un acto de trámite cualificado, porque define directamente el fondo del asunto, pues permite que se pueda ejecutar el proyecto que ha sido objeto de la DIA sin que se dicte ningún otro acuerdo en el procedimiento sustantivo. Esta argumentación se apoya en sentencias anteriores de la misma Sala, que se traen a colación.</w:t>
      </w:r>
    </w:p>
    <w:p w14:paraId="654546FA" w14:textId="77777777" w:rsidR="00CE7F6A" w:rsidRPr="0050041D" w:rsidRDefault="00CE7F6A" w:rsidP="00CE7F6A">
      <w:pPr>
        <w:pStyle w:val="Default"/>
        <w:spacing w:after="120" w:line="360" w:lineRule="auto"/>
        <w:jc w:val="both"/>
        <w:rPr>
          <w:rFonts w:ascii="Arial" w:hAnsi="Arial" w:cs="Arial"/>
        </w:rPr>
      </w:pPr>
      <w:r w:rsidRPr="0050041D">
        <w:rPr>
          <w:rFonts w:ascii="Arial" w:hAnsi="Arial" w:cs="Arial"/>
        </w:rPr>
        <w:t>Superados los óbices de inadmisibilidad, el Tribunal entra al fondo del asunto, para determinar si la Orden en cuestión es ajustada a la legalidad. El gran problema es que el procedimiento de concesión de la prórroga se incoó en el ínterin en el que se produjo una laguna legal en la Ley 21/2013, de Impacto Ambiental, entre la Ley 9/2018, de 5 de diciembre, por la que se modifica la Ley 21/2013, de 9 de diciembre, de evaluación ambiental, que eliminó los párrafos 2, 3, 4 y 5 del art. 43 de la Ley de 2013 y el art. 8.2 del Real Decreto-ley 23/2020, de 23 de junio, que los recupera con una nueva redacción que regula específicamente la solicitud de prórroga.</w:t>
      </w:r>
    </w:p>
    <w:p w14:paraId="2DC0C927" w14:textId="77777777" w:rsidR="00CE7F6A" w:rsidRPr="0050041D" w:rsidRDefault="00CE7F6A" w:rsidP="00CE7F6A">
      <w:pPr>
        <w:pStyle w:val="Default"/>
        <w:spacing w:after="120" w:line="360" w:lineRule="auto"/>
        <w:jc w:val="both"/>
        <w:rPr>
          <w:rFonts w:ascii="Arial" w:hAnsi="Arial" w:cs="Arial"/>
        </w:rPr>
      </w:pPr>
      <w:r w:rsidRPr="0050041D">
        <w:rPr>
          <w:rFonts w:ascii="Arial" w:hAnsi="Arial" w:cs="Arial"/>
        </w:rPr>
        <w:t xml:space="preserve">Aunque no sea aplicable por razones temporales la nueva regulación, lo cierto es que el vacío legal no ayuda a dar validez a la Orden tardía en cuestión, pero la sentencia trae a colación correctamente el régimen del silencio administrativo bajo la Ley 39/2015, que conlleva como es sabido que, en materia ambiental el </w:t>
      </w:r>
      <w:r w:rsidRPr="0050041D">
        <w:rPr>
          <w:rFonts w:ascii="Arial" w:hAnsi="Arial" w:cs="Arial"/>
        </w:rPr>
        <w:lastRenderedPageBreak/>
        <w:t xml:space="preserve">silencio debe ser desestimatorio (art. 24.1) y que en los supuestos de silencio desestimatorio, la resolución expresa extemporánea –obligada por la Ley: art. 21- puede ser, tanto negativa como positiva, porque la Administración no está vinculada por el sentido del silencio, pura </w:t>
      </w:r>
      <w:proofErr w:type="spellStart"/>
      <w:r w:rsidRPr="0050041D">
        <w:rPr>
          <w:rFonts w:ascii="Arial" w:hAnsi="Arial" w:cs="Arial"/>
          <w:i/>
        </w:rPr>
        <w:t>fictio</w:t>
      </w:r>
      <w:proofErr w:type="spellEnd"/>
      <w:r w:rsidRPr="0050041D">
        <w:rPr>
          <w:rFonts w:ascii="Arial" w:hAnsi="Arial" w:cs="Arial"/>
          <w:i/>
        </w:rPr>
        <w:t xml:space="preserve"> iuris</w:t>
      </w:r>
      <w:r w:rsidRPr="0050041D">
        <w:rPr>
          <w:rFonts w:ascii="Arial" w:hAnsi="Arial" w:cs="Arial"/>
        </w:rPr>
        <w:t xml:space="preserve">. </w:t>
      </w:r>
    </w:p>
    <w:p w14:paraId="2DA140D6" w14:textId="0A0E3C52" w:rsidR="00CB043D" w:rsidRDefault="00CE7F6A" w:rsidP="00CE7F6A">
      <w:pPr>
        <w:rPr>
          <w:rFonts w:ascii="Arial" w:hAnsi="Arial"/>
          <w:lang w:val="fr-FR"/>
        </w:rPr>
      </w:pPr>
      <w:r w:rsidRPr="0050041D">
        <w:rPr>
          <w:rFonts w:ascii="Arial" w:hAnsi="Arial" w:cs="Arial"/>
        </w:rPr>
        <w:t>En definitiva, una vez resueltos, uno tras otro, de forma creativa a veces, los problemas jurídicos que planteaba el recurso, la sentencia viene a desestimar la demanda y a declarar, por tanto, la licitud de la Orden de 7 de julio de 2020 por la que se concede la prórroga a la Declaración de Impacto Ambiental del Proyecto de explotación minera. Subyace en toda ella un juego correcto y riguroso de las técnicas jurídico-administrativas y viene a expresar la primacía de la ley en la ponderación concreta de los intereses ambientales y económicos de los servicios ecosistémicos (paradigmáticamente, la minería)</w:t>
      </w:r>
      <w:r w:rsidR="006127B4" w:rsidRPr="00740B4F">
        <w:rPr>
          <w:rFonts w:ascii="Arial" w:hAnsi="Arial"/>
          <w:lang w:val="fr-FR"/>
        </w:rPr>
        <w:t>.</w:t>
      </w:r>
    </w:p>
    <w:p w14:paraId="4527273D" w14:textId="1F91F067" w:rsidR="00FE1612" w:rsidRDefault="00657D7A" w:rsidP="00FE1612">
      <w:pPr>
        <w:spacing w:after="120"/>
        <w:rPr>
          <w:rFonts w:ascii="Arial" w:hAnsi="Arial" w:cs="Arial"/>
          <w:b/>
          <w:i/>
        </w:rPr>
      </w:pPr>
      <w:r w:rsidRPr="00FE1612">
        <w:rPr>
          <w:rFonts w:ascii="Arial" w:hAnsi="Arial"/>
          <w:b/>
          <w:bCs/>
          <w:lang w:val="fr-FR"/>
        </w:rPr>
        <w:t xml:space="preserve">4.  </w:t>
      </w:r>
      <w:r w:rsidR="00FE1612" w:rsidRPr="00FE1612">
        <w:rPr>
          <w:rFonts w:ascii="Arial" w:hAnsi="Arial" w:cs="Arial"/>
          <w:b/>
        </w:rPr>
        <w:t xml:space="preserve">EXPLOTACIONES PORCINAS Y TUTELA CAUTELAR. LA NECESIDAD DE ACREDITAR EL </w:t>
      </w:r>
      <w:r w:rsidR="00FE1612" w:rsidRPr="00FE1612">
        <w:rPr>
          <w:rFonts w:ascii="Arial" w:hAnsi="Arial" w:cs="Arial"/>
          <w:b/>
          <w:i/>
        </w:rPr>
        <w:t>PERICULUM IN MORA</w:t>
      </w:r>
    </w:p>
    <w:p w14:paraId="7C71356E" w14:textId="77777777" w:rsidR="00FE773D" w:rsidRPr="0050041D" w:rsidRDefault="00FE773D" w:rsidP="00FE773D">
      <w:pPr>
        <w:spacing w:after="120"/>
        <w:rPr>
          <w:rFonts w:ascii="Arial" w:hAnsi="Arial" w:cs="Arial"/>
        </w:rPr>
      </w:pPr>
      <w:r w:rsidRPr="0050041D">
        <w:rPr>
          <w:rFonts w:ascii="Arial" w:hAnsi="Arial" w:cs="Arial"/>
        </w:rPr>
        <w:t>La STSJ de 21 de julio de 2022 (</w:t>
      </w:r>
      <w:proofErr w:type="spellStart"/>
      <w:r w:rsidRPr="0050041D">
        <w:rPr>
          <w:rFonts w:ascii="Arial" w:hAnsi="Arial" w:cs="Arial"/>
        </w:rPr>
        <w:t>rec.</w:t>
      </w:r>
      <w:proofErr w:type="spellEnd"/>
      <w:r w:rsidRPr="0050041D">
        <w:rPr>
          <w:rFonts w:ascii="Arial" w:hAnsi="Arial" w:cs="Arial"/>
        </w:rPr>
        <w:t xml:space="preserve"> 631/2021) tiene una evidente actualidad porque se pronuncia sobre un Auto dictado por el Juzgado correspondiente que deniega las medidas cautelares solicitadas, respecto de la concesión de la licencia urbanística y de la autorización ambiental integrada de una explotación porcina intensiva de cebo por una organización ambientalista.</w:t>
      </w:r>
    </w:p>
    <w:p w14:paraId="1E1BC0B0" w14:textId="77777777" w:rsidR="00FE773D" w:rsidRPr="0050041D" w:rsidRDefault="00FE773D" w:rsidP="00FE773D">
      <w:pPr>
        <w:spacing w:after="120"/>
        <w:rPr>
          <w:rFonts w:ascii="Arial" w:hAnsi="Arial" w:cs="Arial"/>
        </w:rPr>
      </w:pPr>
      <w:r w:rsidRPr="0050041D">
        <w:rPr>
          <w:rFonts w:ascii="Arial" w:hAnsi="Arial" w:cs="Arial"/>
        </w:rPr>
        <w:t>Nuevamente vuelve a ponerse de manifiesto el conflicto entre actividad económica y protección del medio ambiente en una de sus versiones más actuales y polémicas: la actividad económica es ganadera intensiva y, además, porcina, generadora de residuos de alto valor contaminante (purines); el ambiente debe ser protegido de los olores y emisiones a la atmósfera y de los vertidos a suelos y aguas, aunque también debe tenerse en cuenta, cada vez más, (estamos hablando de explotaciones intensivas) el bienestar animal, en un claro cruce de competencias en las materias de medio ambiente y de ganadería.</w:t>
      </w:r>
    </w:p>
    <w:p w14:paraId="29BBE001" w14:textId="77777777" w:rsidR="00FE773D" w:rsidRPr="0050041D" w:rsidRDefault="00FE773D" w:rsidP="00FE773D">
      <w:pPr>
        <w:spacing w:after="120"/>
        <w:rPr>
          <w:rFonts w:ascii="Arial" w:hAnsi="Arial" w:cs="Arial"/>
        </w:rPr>
      </w:pPr>
      <w:r w:rsidRPr="0050041D">
        <w:rPr>
          <w:rFonts w:ascii="Arial" w:hAnsi="Arial" w:cs="Arial"/>
        </w:rPr>
        <w:t>La sentencia es desestimatoria de la apelación frente al Auto asimismo desestimatorio de las medidas cautelares solicitadas (suspensión de la ejecución del acuerdo adoptado); dicho de otra forma, confirma la no necesidad de las medidas cautelares solicitadas.</w:t>
      </w:r>
    </w:p>
    <w:p w14:paraId="278D4574" w14:textId="77777777" w:rsidR="00FE773D" w:rsidRPr="0050041D" w:rsidRDefault="00FE773D" w:rsidP="00FE773D">
      <w:pPr>
        <w:spacing w:after="120"/>
        <w:rPr>
          <w:rFonts w:ascii="Arial" w:hAnsi="Arial" w:cs="Arial"/>
        </w:rPr>
      </w:pPr>
      <w:r w:rsidRPr="0050041D">
        <w:rPr>
          <w:rFonts w:ascii="Arial" w:hAnsi="Arial" w:cs="Arial"/>
        </w:rPr>
        <w:lastRenderedPageBreak/>
        <w:t>En todo caso, lo mejor de esta relativamente breve sentencia es su argumentación: por una parte, confirma que los motivos de la solicitud de medidas cautelares no deben responder a la posible invalidez de la resolución administrativa, sino a su ejecución; lo que debe acreditarse es la existencia de potenciales o reales daños ambientales, y eso no se acredita.</w:t>
      </w:r>
    </w:p>
    <w:p w14:paraId="71AE4ABB" w14:textId="77777777" w:rsidR="00FE773D" w:rsidRPr="0050041D" w:rsidRDefault="00FE773D" w:rsidP="00FE773D">
      <w:pPr>
        <w:spacing w:after="120"/>
        <w:rPr>
          <w:rFonts w:ascii="Arial" w:hAnsi="Arial" w:cs="Arial"/>
        </w:rPr>
      </w:pPr>
      <w:r w:rsidRPr="0050041D">
        <w:rPr>
          <w:rFonts w:ascii="Arial" w:hAnsi="Arial" w:cs="Arial"/>
        </w:rPr>
        <w:t xml:space="preserve">La sentencia hace un repaso de la legalidad aplicable a las medidas cautelares (específicamente el art. 130 LJCA), que se concretan en la constatación de un </w:t>
      </w:r>
      <w:proofErr w:type="spellStart"/>
      <w:r w:rsidRPr="0050041D">
        <w:rPr>
          <w:rFonts w:ascii="Arial" w:hAnsi="Arial" w:cs="Arial"/>
          <w:i/>
        </w:rPr>
        <w:t>periculum</w:t>
      </w:r>
      <w:proofErr w:type="spellEnd"/>
      <w:r w:rsidRPr="0050041D">
        <w:rPr>
          <w:rFonts w:ascii="Arial" w:hAnsi="Arial" w:cs="Arial"/>
          <w:i/>
        </w:rPr>
        <w:t xml:space="preserve"> in mora</w:t>
      </w:r>
      <w:r w:rsidRPr="0050041D">
        <w:rPr>
          <w:rFonts w:ascii="Arial" w:hAnsi="Arial" w:cs="Arial"/>
        </w:rPr>
        <w:t xml:space="preserve"> y en la necesaria ponderación de intereses públicos y privados, por una parte; y de los demás requisitos jurisprudenciales exigidos para su otorgamiento, por otra, requisitos que son el </w:t>
      </w:r>
      <w:proofErr w:type="spellStart"/>
      <w:r w:rsidRPr="0050041D">
        <w:rPr>
          <w:rFonts w:ascii="Arial" w:hAnsi="Arial" w:cs="Arial"/>
          <w:i/>
        </w:rPr>
        <w:t>fumus</w:t>
      </w:r>
      <w:proofErr w:type="spellEnd"/>
      <w:r w:rsidRPr="0050041D">
        <w:rPr>
          <w:rFonts w:ascii="Arial" w:hAnsi="Arial" w:cs="Arial"/>
          <w:i/>
        </w:rPr>
        <w:t xml:space="preserve"> </w:t>
      </w:r>
      <w:proofErr w:type="spellStart"/>
      <w:r w:rsidRPr="0050041D">
        <w:rPr>
          <w:rFonts w:ascii="Arial" w:hAnsi="Arial" w:cs="Arial"/>
          <w:i/>
        </w:rPr>
        <w:t>boni</w:t>
      </w:r>
      <w:proofErr w:type="spellEnd"/>
      <w:r w:rsidRPr="0050041D">
        <w:rPr>
          <w:rFonts w:ascii="Arial" w:hAnsi="Arial" w:cs="Arial"/>
          <w:i/>
        </w:rPr>
        <w:t xml:space="preserve"> iuris</w:t>
      </w:r>
      <w:r w:rsidRPr="0050041D">
        <w:rPr>
          <w:rFonts w:ascii="Arial" w:hAnsi="Arial" w:cs="Arial"/>
        </w:rPr>
        <w:t xml:space="preserve"> (que reconoce la Sala no tener acogimiento en la ley) y la necesidad de que se decida la medida sin prejuzgar el fondo del litigio.</w:t>
      </w:r>
    </w:p>
    <w:p w14:paraId="4675CEBC" w14:textId="77777777" w:rsidR="00FE773D" w:rsidRPr="0050041D" w:rsidRDefault="00FE773D" w:rsidP="00FE773D">
      <w:pPr>
        <w:pStyle w:val="Default"/>
        <w:spacing w:after="120" w:line="360" w:lineRule="auto"/>
        <w:jc w:val="both"/>
        <w:rPr>
          <w:rFonts w:ascii="Arial" w:hAnsi="Arial" w:cs="Arial"/>
        </w:rPr>
      </w:pPr>
      <w:r w:rsidRPr="0050041D">
        <w:rPr>
          <w:rFonts w:ascii="Arial" w:hAnsi="Arial" w:cs="Arial"/>
        </w:rPr>
        <w:t>Tras el análisis de legislación y jurisprudencia procesal contencioso-administrativa aplicables, rechaza la causa de inadmisibilidad planteada (la ausencia de poder para pleitos del Ayuntamiento), porque corresponde dilucidarla en el proceso principal y no en el incidental, y además, se trata de un trámite subsanable; en cuanto al fondo, el apelante no ha aportado principio de prueba que permita dar credibilidad a los riesgos que anuncia, y en todo caso, siempre sería posible la demolición de lo construido: no estamos, según la Sala, ante perjuicios de difícil o imposible reparación. Igualmente, la posible suspensión de la ubicación de la fosa de purines –señala la sentencia- no debe ser decidida sin pronunciarse sobre la cuestión de fondo que ha de constituir el objeto de valoración y decisión en el proceso principal, pues, de lo contrario, se prejuzgaría dicha cuestión, porque constituye un objeto del pleito principal y no de una medida cautelar.</w:t>
      </w:r>
    </w:p>
    <w:p w14:paraId="3CC06CBF" w14:textId="0E7F6F7B" w:rsidR="00FE1612" w:rsidRDefault="00FE773D" w:rsidP="00FE773D">
      <w:pPr>
        <w:spacing w:after="120"/>
        <w:rPr>
          <w:rFonts w:ascii="Arial" w:hAnsi="Arial" w:cs="Arial"/>
        </w:rPr>
      </w:pPr>
      <w:r w:rsidRPr="0050041D">
        <w:rPr>
          <w:rFonts w:ascii="Arial" w:hAnsi="Arial" w:cs="Arial"/>
        </w:rPr>
        <w:t xml:space="preserve">En definitiva, la sentencia desestima íntegramente la apelación planteada contra el Auto del Juzgado también desestimatorio de la suspensión del proyecto de granja porcina. En esta ocasión, y de modo provisional, se ha impuesto la apariencia de legalidad de la granja sobre los intereses ambientales, defendidos en vía incidental mediante argumentos jurídicos sobre la supuesta invalidez del proyecto, cuando deberían haberse utilizado argumentos apoyados en hechos suficientemente acreditados, sobre los </w:t>
      </w:r>
      <w:r w:rsidRPr="0050041D">
        <w:rPr>
          <w:rFonts w:ascii="Arial" w:hAnsi="Arial" w:cs="Arial"/>
        </w:rPr>
        <w:lastRenderedPageBreak/>
        <w:t>riesgos ambientales que la puesta en funcionamiento de la granja porcina puede generar</w:t>
      </w:r>
      <w:r>
        <w:rPr>
          <w:rFonts w:ascii="Arial" w:hAnsi="Arial" w:cs="Arial"/>
        </w:rPr>
        <w:t>.</w:t>
      </w:r>
    </w:p>
    <w:p w14:paraId="49E477DB" w14:textId="525A7F4C" w:rsidR="00952FDB" w:rsidRDefault="00952FDB" w:rsidP="00FE773D">
      <w:pPr>
        <w:spacing w:after="120"/>
        <w:rPr>
          <w:rFonts w:ascii="Arial" w:hAnsi="Arial" w:cs="Arial"/>
          <w:b/>
          <w:bCs/>
        </w:rPr>
      </w:pPr>
      <w:r>
        <w:rPr>
          <w:rFonts w:ascii="Arial" w:hAnsi="Arial" w:cs="Arial"/>
          <w:b/>
          <w:bCs/>
        </w:rPr>
        <w:t xml:space="preserve">5. </w:t>
      </w:r>
      <w:r w:rsidR="000E1D7D">
        <w:rPr>
          <w:rFonts w:ascii="Arial" w:hAnsi="Arial" w:cs="Arial"/>
          <w:b/>
          <w:bCs/>
        </w:rPr>
        <w:t>S</w:t>
      </w:r>
      <w:r w:rsidR="000E1D7D" w:rsidRPr="000E1D7D">
        <w:rPr>
          <w:rFonts w:ascii="Arial" w:hAnsi="Arial" w:cs="Arial"/>
          <w:b/>
          <w:bCs/>
        </w:rPr>
        <w:t>OBRE LA INACTIVIDAD ADMINISTRATIVA EN MATERIA DE DEFENSA CONTRA LOS RUIDOS</w:t>
      </w:r>
    </w:p>
    <w:p w14:paraId="7B93A633" w14:textId="77777777" w:rsidR="004924FE" w:rsidRPr="0050041D" w:rsidRDefault="004924FE" w:rsidP="004924FE">
      <w:pPr>
        <w:pStyle w:val="Default"/>
        <w:spacing w:after="120" w:line="360" w:lineRule="auto"/>
        <w:jc w:val="both"/>
        <w:rPr>
          <w:rFonts w:ascii="Arial" w:hAnsi="Arial" w:cs="Arial"/>
          <w:color w:val="auto"/>
        </w:rPr>
      </w:pPr>
      <w:r w:rsidRPr="0050041D">
        <w:rPr>
          <w:rFonts w:ascii="Arial" w:hAnsi="Arial" w:cs="Arial"/>
          <w:color w:val="auto"/>
        </w:rPr>
        <w:t>La Sentencia de la Sala de lo contencioso del Tribunal Superior de Justicia (Valladolid) de 28 de julio de 2022 (</w:t>
      </w:r>
      <w:proofErr w:type="spellStart"/>
      <w:r w:rsidRPr="0050041D">
        <w:rPr>
          <w:rFonts w:ascii="Arial" w:hAnsi="Arial" w:cs="Arial"/>
          <w:color w:val="auto"/>
        </w:rPr>
        <w:t>rec.</w:t>
      </w:r>
      <w:proofErr w:type="spellEnd"/>
      <w:r w:rsidRPr="0050041D">
        <w:rPr>
          <w:rFonts w:ascii="Arial" w:hAnsi="Arial" w:cs="Arial"/>
          <w:color w:val="auto"/>
        </w:rPr>
        <w:t xml:space="preserve"> 614/2021) es un claro exponente del concepto de “inactividad administrativa” a efectos de su impugnación en los términos del art. 29 Ley 29/1998, de la Jurisdicción contencioso-administrativa. </w:t>
      </w:r>
    </w:p>
    <w:p w14:paraId="6A5BFEDE" w14:textId="77777777" w:rsidR="004924FE" w:rsidRPr="0050041D" w:rsidRDefault="004924FE" w:rsidP="004924FE">
      <w:pPr>
        <w:pStyle w:val="Default"/>
        <w:spacing w:after="120" w:line="360" w:lineRule="auto"/>
        <w:jc w:val="both"/>
        <w:rPr>
          <w:rFonts w:ascii="Arial" w:hAnsi="Arial" w:cs="Arial"/>
        </w:rPr>
      </w:pPr>
      <w:r w:rsidRPr="0050041D">
        <w:rPr>
          <w:rFonts w:ascii="Arial" w:hAnsi="Arial" w:cs="Arial"/>
          <w:color w:val="auto"/>
        </w:rPr>
        <w:t xml:space="preserve">En el caso en cuestión, varios vecinos de Zamora habían denunciado repetidamente a un bar de la localidad ante el Ayuntamiento por exceso de ruidos; ante la pasividad municipal interpusieron el correspondiente recurso de inactividad, en el que solicitaban la incoación de los correspondientes procedimientos sancionadores y en su caso, al cierre cautelar del establecimiento, así como, en general, </w:t>
      </w:r>
      <w:r w:rsidRPr="0050041D">
        <w:rPr>
          <w:rFonts w:ascii="Arial" w:hAnsi="Arial" w:cs="Arial"/>
          <w:iCs/>
        </w:rPr>
        <w:t>las medidas necesarias para impedir la emisión de ruidos ilegales procedentes del establecimiento</w:t>
      </w:r>
      <w:r w:rsidRPr="0050041D">
        <w:rPr>
          <w:rFonts w:ascii="Arial" w:hAnsi="Arial" w:cs="Arial"/>
        </w:rPr>
        <w:t>.</w:t>
      </w:r>
    </w:p>
    <w:p w14:paraId="5F2CCA76" w14:textId="7895BDCD" w:rsidR="00657D7A" w:rsidRPr="00FE1612" w:rsidRDefault="004924FE" w:rsidP="004924FE">
      <w:pPr>
        <w:spacing w:after="120"/>
        <w:rPr>
          <w:rFonts w:ascii="Arial" w:hAnsi="Arial"/>
          <w:b/>
          <w:bCs/>
        </w:rPr>
      </w:pPr>
      <w:r w:rsidRPr="0050041D">
        <w:rPr>
          <w:rFonts w:ascii="Arial" w:hAnsi="Arial" w:cs="Arial"/>
        </w:rPr>
        <w:t>Los recurrentes vieron desestimada en primera instancia su solicitud, pero también en apelación. La justificación, inapelable, de la Sala se apoya sobre el mismo art. 29 alegado. Según este precepto,</w:t>
      </w:r>
    </w:p>
    <w:p w14:paraId="18069E53" w14:textId="45D2E37F" w:rsidR="00CB043D" w:rsidRPr="00FA2E13" w:rsidRDefault="007F7C08" w:rsidP="00FA2E13">
      <w:pPr>
        <w:pStyle w:val="Cita"/>
        <w:rPr>
          <w:rFonts w:ascii="Arial" w:hAnsi="Arial"/>
          <w:lang w:val="es-ES_tradnl"/>
        </w:rPr>
      </w:pPr>
      <w:sdt>
        <w:sdtPr>
          <w:rPr>
            <w:rFonts w:ascii="Arial" w:hAnsi="Arial"/>
            <w:lang w:val="fr-FR"/>
          </w:rPr>
          <w:id w:val="154740497"/>
          <w:placeholder>
            <w:docPart w:val="A70F4EEB55E64A41B9EB95A5BF8BA645"/>
          </w:placeholder>
        </w:sdtPr>
        <w:sdtEndPr/>
        <w:sdtContent>
          <w:r w:rsidR="007D6DB4" w:rsidRPr="007D6DB4">
            <w:rPr>
              <w:rFonts w:ascii="Arial" w:hAnsi="Arial"/>
              <w:lang w:val="fr-FR"/>
            </w:rPr>
            <w:t>“</w:t>
          </w:r>
          <w:proofErr w:type="spellStart"/>
          <w:r w:rsidR="007D6DB4" w:rsidRPr="007D6DB4">
            <w:rPr>
              <w:rFonts w:ascii="Arial" w:hAnsi="Arial"/>
              <w:lang w:val="fr-FR"/>
            </w:rPr>
            <w:t>cuando</w:t>
          </w:r>
          <w:proofErr w:type="spellEnd"/>
          <w:r w:rsidR="007D6DB4" w:rsidRPr="007D6DB4">
            <w:rPr>
              <w:rFonts w:ascii="Arial" w:hAnsi="Arial"/>
              <w:lang w:val="fr-FR"/>
            </w:rPr>
            <w:t xml:space="preserve"> la </w:t>
          </w:r>
          <w:proofErr w:type="spellStart"/>
          <w:r w:rsidR="007D6DB4" w:rsidRPr="007D6DB4">
            <w:rPr>
              <w:rFonts w:ascii="Arial" w:hAnsi="Arial"/>
              <w:lang w:val="fr-FR"/>
            </w:rPr>
            <w:t>Administración</w:t>
          </w:r>
          <w:proofErr w:type="spellEnd"/>
          <w:r w:rsidR="007D6DB4" w:rsidRPr="007D6DB4">
            <w:rPr>
              <w:rFonts w:ascii="Arial" w:hAnsi="Arial"/>
              <w:lang w:val="fr-FR"/>
            </w:rPr>
            <w:t xml:space="preserve">, en </w:t>
          </w:r>
          <w:proofErr w:type="spellStart"/>
          <w:r w:rsidR="007D6DB4" w:rsidRPr="007D6DB4">
            <w:rPr>
              <w:rFonts w:ascii="Arial" w:hAnsi="Arial"/>
              <w:lang w:val="fr-FR"/>
            </w:rPr>
            <w:t>virtud</w:t>
          </w:r>
          <w:proofErr w:type="spellEnd"/>
          <w:r w:rsidR="007D6DB4" w:rsidRPr="007D6DB4">
            <w:rPr>
              <w:rFonts w:ascii="Arial" w:hAnsi="Arial"/>
              <w:lang w:val="fr-FR"/>
            </w:rPr>
            <w:t xml:space="preserve"> de </w:t>
          </w:r>
          <w:proofErr w:type="spellStart"/>
          <w:r w:rsidR="007D6DB4" w:rsidRPr="007D6DB4">
            <w:rPr>
              <w:rFonts w:ascii="Arial" w:hAnsi="Arial"/>
              <w:lang w:val="fr-FR"/>
            </w:rPr>
            <w:t>una</w:t>
          </w:r>
          <w:proofErr w:type="spellEnd"/>
          <w:r w:rsidR="007D6DB4" w:rsidRPr="007D6DB4">
            <w:rPr>
              <w:rFonts w:ascii="Arial" w:hAnsi="Arial"/>
              <w:lang w:val="fr-FR"/>
            </w:rPr>
            <w:t xml:space="preserve"> </w:t>
          </w:r>
          <w:proofErr w:type="spellStart"/>
          <w:r w:rsidR="007D6DB4" w:rsidRPr="007D6DB4">
            <w:rPr>
              <w:rFonts w:ascii="Arial" w:hAnsi="Arial"/>
              <w:lang w:val="fr-FR"/>
            </w:rPr>
            <w:t>disposición</w:t>
          </w:r>
          <w:proofErr w:type="spellEnd"/>
          <w:r w:rsidR="007D6DB4" w:rsidRPr="007D6DB4">
            <w:rPr>
              <w:rFonts w:ascii="Arial" w:hAnsi="Arial"/>
              <w:lang w:val="fr-FR"/>
            </w:rPr>
            <w:t xml:space="preserve"> </w:t>
          </w:r>
          <w:proofErr w:type="spellStart"/>
          <w:r w:rsidR="007D6DB4" w:rsidRPr="007D6DB4">
            <w:rPr>
              <w:rFonts w:ascii="Arial" w:hAnsi="Arial"/>
              <w:lang w:val="fr-FR"/>
            </w:rPr>
            <w:t>general</w:t>
          </w:r>
          <w:proofErr w:type="spellEnd"/>
          <w:r w:rsidR="007D6DB4" w:rsidRPr="007D6DB4">
            <w:rPr>
              <w:rFonts w:ascii="Arial" w:hAnsi="Arial"/>
              <w:lang w:val="fr-FR"/>
            </w:rPr>
            <w:t xml:space="preserve"> que no </w:t>
          </w:r>
          <w:proofErr w:type="spellStart"/>
          <w:r w:rsidR="007D6DB4" w:rsidRPr="007D6DB4">
            <w:rPr>
              <w:rFonts w:ascii="Arial" w:hAnsi="Arial"/>
              <w:lang w:val="fr-FR"/>
            </w:rPr>
            <w:t>precise</w:t>
          </w:r>
          <w:proofErr w:type="spellEnd"/>
          <w:r w:rsidR="007D6DB4" w:rsidRPr="007D6DB4">
            <w:rPr>
              <w:rFonts w:ascii="Arial" w:hAnsi="Arial"/>
              <w:lang w:val="fr-FR"/>
            </w:rPr>
            <w:t xml:space="preserve"> de </w:t>
          </w:r>
          <w:proofErr w:type="spellStart"/>
          <w:r w:rsidR="007D6DB4" w:rsidRPr="007D6DB4">
            <w:rPr>
              <w:rFonts w:ascii="Arial" w:hAnsi="Arial"/>
              <w:lang w:val="fr-FR"/>
            </w:rPr>
            <w:t>actos</w:t>
          </w:r>
          <w:proofErr w:type="spellEnd"/>
          <w:r w:rsidR="007D6DB4" w:rsidRPr="007D6DB4">
            <w:rPr>
              <w:rFonts w:ascii="Arial" w:hAnsi="Arial"/>
              <w:lang w:val="fr-FR"/>
            </w:rPr>
            <w:t xml:space="preserve"> de </w:t>
          </w:r>
          <w:proofErr w:type="spellStart"/>
          <w:r w:rsidR="007D6DB4" w:rsidRPr="007D6DB4">
            <w:rPr>
              <w:rFonts w:ascii="Arial" w:hAnsi="Arial"/>
              <w:lang w:val="fr-FR"/>
            </w:rPr>
            <w:t>aplicación</w:t>
          </w:r>
          <w:proofErr w:type="spellEnd"/>
          <w:r w:rsidR="007D6DB4" w:rsidRPr="007D6DB4">
            <w:rPr>
              <w:rFonts w:ascii="Arial" w:hAnsi="Arial"/>
              <w:lang w:val="fr-FR"/>
            </w:rPr>
            <w:t xml:space="preserve"> o en </w:t>
          </w:r>
          <w:proofErr w:type="spellStart"/>
          <w:r w:rsidR="007D6DB4" w:rsidRPr="007D6DB4">
            <w:rPr>
              <w:rFonts w:ascii="Arial" w:hAnsi="Arial"/>
              <w:lang w:val="fr-FR"/>
            </w:rPr>
            <w:t>virtud</w:t>
          </w:r>
          <w:proofErr w:type="spellEnd"/>
          <w:r w:rsidR="007D6DB4" w:rsidRPr="007D6DB4">
            <w:rPr>
              <w:rFonts w:ascii="Arial" w:hAnsi="Arial"/>
              <w:lang w:val="fr-FR"/>
            </w:rPr>
            <w:t xml:space="preserve"> </w:t>
          </w:r>
          <w:proofErr w:type="gramStart"/>
          <w:r w:rsidR="007D6DB4" w:rsidRPr="007D6DB4">
            <w:rPr>
              <w:rFonts w:ascii="Arial" w:hAnsi="Arial"/>
              <w:lang w:val="fr-FR"/>
            </w:rPr>
            <w:t>de un</w:t>
          </w:r>
          <w:proofErr w:type="gramEnd"/>
          <w:r w:rsidR="007D6DB4" w:rsidRPr="007D6DB4">
            <w:rPr>
              <w:rFonts w:ascii="Arial" w:hAnsi="Arial"/>
              <w:lang w:val="fr-FR"/>
            </w:rPr>
            <w:t xml:space="preserve"> </w:t>
          </w:r>
          <w:proofErr w:type="spellStart"/>
          <w:r w:rsidR="007D6DB4" w:rsidRPr="007D6DB4">
            <w:rPr>
              <w:rFonts w:ascii="Arial" w:hAnsi="Arial"/>
              <w:lang w:val="fr-FR"/>
            </w:rPr>
            <w:t>acto</w:t>
          </w:r>
          <w:proofErr w:type="spellEnd"/>
          <w:r w:rsidR="007D6DB4" w:rsidRPr="007D6DB4">
            <w:rPr>
              <w:rFonts w:ascii="Arial" w:hAnsi="Arial"/>
              <w:lang w:val="fr-FR"/>
            </w:rPr>
            <w:t xml:space="preserve">, </w:t>
          </w:r>
          <w:proofErr w:type="spellStart"/>
          <w:r w:rsidR="007D6DB4" w:rsidRPr="007D6DB4">
            <w:rPr>
              <w:rFonts w:ascii="Arial" w:hAnsi="Arial"/>
              <w:lang w:val="fr-FR"/>
            </w:rPr>
            <w:t>contrato</w:t>
          </w:r>
          <w:proofErr w:type="spellEnd"/>
          <w:r w:rsidR="007D6DB4" w:rsidRPr="007D6DB4">
            <w:rPr>
              <w:rFonts w:ascii="Arial" w:hAnsi="Arial"/>
              <w:lang w:val="fr-FR"/>
            </w:rPr>
            <w:t xml:space="preserve"> o </w:t>
          </w:r>
          <w:proofErr w:type="spellStart"/>
          <w:r w:rsidR="007D6DB4" w:rsidRPr="007D6DB4">
            <w:rPr>
              <w:rFonts w:ascii="Arial" w:hAnsi="Arial"/>
              <w:lang w:val="fr-FR"/>
            </w:rPr>
            <w:t>convenio</w:t>
          </w:r>
          <w:proofErr w:type="spellEnd"/>
          <w:r w:rsidR="007D6DB4" w:rsidRPr="007D6DB4">
            <w:rPr>
              <w:rFonts w:ascii="Arial" w:hAnsi="Arial"/>
              <w:lang w:val="fr-FR"/>
            </w:rPr>
            <w:t xml:space="preserve"> </w:t>
          </w:r>
          <w:proofErr w:type="spellStart"/>
          <w:r w:rsidR="007D6DB4" w:rsidRPr="007D6DB4">
            <w:rPr>
              <w:rFonts w:ascii="Arial" w:hAnsi="Arial"/>
              <w:lang w:val="fr-FR"/>
            </w:rPr>
            <w:t>administrativo</w:t>
          </w:r>
          <w:proofErr w:type="spellEnd"/>
          <w:r w:rsidR="007D6DB4" w:rsidRPr="007D6DB4">
            <w:rPr>
              <w:rFonts w:ascii="Arial" w:hAnsi="Arial"/>
              <w:lang w:val="fr-FR"/>
            </w:rPr>
            <w:t xml:space="preserve">, </w:t>
          </w:r>
          <w:proofErr w:type="spellStart"/>
          <w:r w:rsidR="007D6DB4" w:rsidRPr="007D6DB4">
            <w:rPr>
              <w:rFonts w:ascii="Arial" w:hAnsi="Arial"/>
              <w:lang w:val="fr-FR"/>
            </w:rPr>
            <w:t>esté</w:t>
          </w:r>
          <w:proofErr w:type="spellEnd"/>
          <w:r w:rsidR="007D6DB4" w:rsidRPr="007D6DB4">
            <w:rPr>
              <w:rFonts w:ascii="Arial" w:hAnsi="Arial"/>
              <w:lang w:val="fr-FR"/>
            </w:rPr>
            <w:t xml:space="preserve"> </w:t>
          </w:r>
          <w:proofErr w:type="spellStart"/>
          <w:r w:rsidR="007D6DB4" w:rsidRPr="007D6DB4">
            <w:rPr>
              <w:rFonts w:ascii="Arial" w:hAnsi="Arial"/>
              <w:lang w:val="fr-FR"/>
            </w:rPr>
            <w:t>obligada</w:t>
          </w:r>
          <w:proofErr w:type="spellEnd"/>
          <w:r w:rsidR="007D6DB4" w:rsidRPr="007D6DB4">
            <w:rPr>
              <w:rFonts w:ascii="Arial" w:hAnsi="Arial"/>
              <w:lang w:val="fr-FR"/>
            </w:rPr>
            <w:t xml:space="preserve"> a </w:t>
          </w:r>
          <w:proofErr w:type="spellStart"/>
          <w:r w:rsidR="007D6DB4" w:rsidRPr="007D6DB4">
            <w:rPr>
              <w:rFonts w:ascii="Arial" w:hAnsi="Arial"/>
              <w:lang w:val="fr-FR"/>
            </w:rPr>
            <w:t>realizar</w:t>
          </w:r>
          <w:proofErr w:type="spellEnd"/>
          <w:r w:rsidR="007D6DB4" w:rsidRPr="007D6DB4">
            <w:rPr>
              <w:rFonts w:ascii="Arial" w:hAnsi="Arial"/>
              <w:lang w:val="fr-FR"/>
            </w:rPr>
            <w:t xml:space="preserve"> </w:t>
          </w:r>
          <w:proofErr w:type="spellStart"/>
          <w:r w:rsidR="007D6DB4" w:rsidRPr="007D6DB4">
            <w:rPr>
              <w:rFonts w:ascii="Arial" w:hAnsi="Arial"/>
              <w:lang w:val="fr-FR"/>
            </w:rPr>
            <w:t>una</w:t>
          </w:r>
          <w:proofErr w:type="spellEnd"/>
          <w:r w:rsidR="007D6DB4" w:rsidRPr="007D6DB4">
            <w:rPr>
              <w:rFonts w:ascii="Arial" w:hAnsi="Arial"/>
              <w:lang w:val="fr-FR"/>
            </w:rPr>
            <w:t xml:space="preserve"> </w:t>
          </w:r>
          <w:proofErr w:type="spellStart"/>
          <w:r w:rsidR="007D6DB4" w:rsidRPr="007D6DB4">
            <w:rPr>
              <w:rFonts w:ascii="Arial" w:hAnsi="Arial"/>
              <w:lang w:val="fr-FR"/>
            </w:rPr>
            <w:t>prestación</w:t>
          </w:r>
          <w:proofErr w:type="spellEnd"/>
          <w:r w:rsidR="007D6DB4" w:rsidRPr="007D6DB4">
            <w:rPr>
              <w:rFonts w:ascii="Arial" w:hAnsi="Arial"/>
              <w:lang w:val="fr-FR"/>
            </w:rPr>
            <w:t xml:space="preserve"> </w:t>
          </w:r>
          <w:proofErr w:type="spellStart"/>
          <w:r w:rsidR="007D6DB4" w:rsidRPr="007D6DB4">
            <w:rPr>
              <w:rFonts w:ascii="Arial" w:hAnsi="Arial"/>
              <w:lang w:val="fr-FR"/>
            </w:rPr>
            <w:t>concreta</w:t>
          </w:r>
          <w:proofErr w:type="spellEnd"/>
          <w:r w:rsidR="007D6DB4" w:rsidRPr="007D6DB4">
            <w:rPr>
              <w:rFonts w:ascii="Arial" w:hAnsi="Arial"/>
              <w:lang w:val="fr-FR"/>
            </w:rPr>
            <w:t xml:space="preserve"> en </w:t>
          </w:r>
          <w:proofErr w:type="spellStart"/>
          <w:r w:rsidR="007D6DB4" w:rsidRPr="007D6DB4">
            <w:rPr>
              <w:rFonts w:ascii="Arial" w:hAnsi="Arial"/>
              <w:lang w:val="fr-FR"/>
            </w:rPr>
            <w:t>favor</w:t>
          </w:r>
          <w:proofErr w:type="spellEnd"/>
          <w:r w:rsidR="007D6DB4" w:rsidRPr="007D6DB4">
            <w:rPr>
              <w:rFonts w:ascii="Arial" w:hAnsi="Arial"/>
              <w:lang w:val="fr-FR"/>
            </w:rPr>
            <w:t xml:space="preserve"> de </w:t>
          </w:r>
          <w:proofErr w:type="spellStart"/>
          <w:r w:rsidR="007D6DB4" w:rsidRPr="007D6DB4">
            <w:rPr>
              <w:rFonts w:ascii="Arial" w:hAnsi="Arial"/>
              <w:lang w:val="fr-FR"/>
            </w:rPr>
            <w:t>una</w:t>
          </w:r>
          <w:proofErr w:type="spellEnd"/>
          <w:r w:rsidR="007D6DB4" w:rsidRPr="007D6DB4">
            <w:rPr>
              <w:rFonts w:ascii="Arial" w:hAnsi="Arial"/>
              <w:lang w:val="fr-FR"/>
            </w:rPr>
            <w:t xml:space="preserve"> o varias </w:t>
          </w:r>
          <w:proofErr w:type="spellStart"/>
          <w:r w:rsidR="007D6DB4" w:rsidRPr="007D6DB4">
            <w:rPr>
              <w:rFonts w:ascii="Arial" w:hAnsi="Arial"/>
              <w:lang w:val="fr-FR"/>
            </w:rPr>
            <w:t>personas</w:t>
          </w:r>
          <w:proofErr w:type="spellEnd"/>
          <w:r w:rsidR="007D6DB4" w:rsidRPr="007D6DB4">
            <w:rPr>
              <w:rFonts w:ascii="Arial" w:hAnsi="Arial"/>
              <w:lang w:val="fr-FR"/>
            </w:rPr>
            <w:t xml:space="preserve"> </w:t>
          </w:r>
          <w:proofErr w:type="spellStart"/>
          <w:r w:rsidR="007D6DB4" w:rsidRPr="007D6DB4">
            <w:rPr>
              <w:rFonts w:ascii="Arial" w:hAnsi="Arial"/>
              <w:lang w:val="fr-FR"/>
            </w:rPr>
            <w:t>determinadas</w:t>
          </w:r>
          <w:proofErr w:type="spellEnd"/>
          <w:r w:rsidR="007D6DB4" w:rsidRPr="007D6DB4">
            <w:rPr>
              <w:rFonts w:ascii="Arial" w:hAnsi="Arial"/>
              <w:lang w:val="fr-FR"/>
            </w:rPr>
            <w:t xml:space="preserve">, </w:t>
          </w:r>
          <w:proofErr w:type="spellStart"/>
          <w:r w:rsidR="007D6DB4" w:rsidRPr="007D6DB4">
            <w:rPr>
              <w:rFonts w:ascii="Arial" w:hAnsi="Arial"/>
              <w:lang w:val="fr-FR"/>
            </w:rPr>
            <w:t>quienes</w:t>
          </w:r>
          <w:proofErr w:type="spellEnd"/>
          <w:r w:rsidR="007D6DB4" w:rsidRPr="007D6DB4">
            <w:rPr>
              <w:rFonts w:ascii="Arial" w:hAnsi="Arial"/>
              <w:lang w:val="fr-FR"/>
            </w:rPr>
            <w:t xml:space="preserve"> </w:t>
          </w:r>
          <w:proofErr w:type="spellStart"/>
          <w:r w:rsidR="007D6DB4" w:rsidRPr="007D6DB4">
            <w:rPr>
              <w:rFonts w:ascii="Arial" w:hAnsi="Arial"/>
              <w:lang w:val="fr-FR"/>
            </w:rPr>
            <w:t>tuvieran</w:t>
          </w:r>
          <w:proofErr w:type="spellEnd"/>
          <w:r w:rsidR="007D6DB4" w:rsidRPr="007D6DB4">
            <w:rPr>
              <w:rFonts w:ascii="Arial" w:hAnsi="Arial"/>
              <w:lang w:val="fr-FR"/>
            </w:rPr>
            <w:t xml:space="preserve"> derecho a </w:t>
          </w:r>
          <w:proofErr w:type="spellStart"/>
          <w:r w:rsidR="007D6DB4" w:rsidRPr="007D6DB4">
            <w:rPr>
              <w:rFonts w:ascii="Arial" w:hAnsi="Arial"/>
              <w:lang w:val="fr-FR"/>
            </w:rPr>
            <w:t>ella</w:t>
          </w:r>
          <w:proofErr w:type="spellEnd"/>
          <w:r w:rsidR="007D6DB4" w:rsidRPr="007D6DB4">
            <w:rPr>
              <w:rFonts w:ascii="Arial" w:hAnsi="Arial"/>
              <w:lang w:val="fr-FR"/>
            </w:rPr>
            <w:t xml:space="preserve"> </w:t>
          </w:r>
          <w:proofErr w:type="spellStart"/>
          <w:r w:rsidR="007D6DB4" w:rsidRPr="007D6DB4">
            <w:rPr>
              <w:rFonts w:ascii="Arial" w:hAnsi="Arial"/>
              <w:lang w:val="fr-FR"/>
            </w:rPr>
            <w:t>pueden</w:t>
          </w:r>
          <w:proofErr w:type="spellEnd"/>
          <w:r w:rsidR="007D6DB4" w:rsidRPr="007D6DB4">
            <w:rPr>
              <w:rFonts w:ascii="Arial" w:hAnsi="Arial"/>
              <w:lang w:val="fr-FR"/>
            </w:rPr>
            <w:t xml:space="preserve"> </w:t>
          </w:r>
          <w:proofErr w:type="spellStart"/>
          <w:r w:rsidR="007D6DB4" w:rsidRPr="007D6DB4">
            <w:rPr>
              <w:rFonts w:ascii="Arial" w:hAnsi="Arial"/>
              <w:lang w:val="fr-FR"/>
            </w:rPr>
            <w:t>reclamar</w:t>
          </w:r>
          <w:proofErr w:type="spellEnd"/>
          <w:r w:rsidR="007D6DB4" w:rsidRPr="007D6DB4">
            <w:rPr>
              <w:rFonts w:ascii="Arial" w:hAnsi="Arial"/>
              <w:lang w:val="fr-FR"/>
            </w:rPr>
            <w:t xml:space="preserve"> de la </w:t>
          </w:r>
          <w:proofErr w:type="spellStart"/>
          <w:r w:rsidR="007D6DB4" w:rsidRPr="007D6DB4">
            <w:rPr>
              <w:rFonts w:ascii="Arial" w:hAnsi="Arial"/>
              <w:lang w:val="fr-FR"/>
            </w:rPr>
            <w:t>Administración</w:t>
          </w:r>
          <w:proofErr w:type="spellEnd"/>
          <w:r w:rsidR="007D6DB4" w:rsidRPr="007D6DB4">
            <w:rPr>
              <w:rFonts w:ascii="Arial" w:hAnsi="Arial"/>
              <w:lang w:val="fr-FR"/>
            </w:rPr>
            <w:t xml:space="preserve"> el </w:t>
          </w:r>
          <w:proofErr w:type="spellStart"/>
          <w:r w:rsidR="007D6DB4" w:rsidRPr="007D6DB4">
            <w:rPr>
              <w:rFonts w:ascii="Arial" w:hAnsi="Arial"/>
              <w:lang w:val="fr-FR"/>
            </w:rPr>
            <w:t>cumplimiento</w:t>
          </w:r>
          <w:proofErr w:type="spellEnd"/>
          <w:r w:rsidR="007D6DB4" w:rsidRPr="007D6DB4">
            <w:rPr>
              <w:rFonts w:ascii="Arial" w:hAnsi="Arial"/>
              <w:lang w:val="fr-FR"/>
            </w:rPr>
            <w:t xml:space="preserve"> de </w:t>
          </w:r>
          <w:proofErr w:type="spellStart"/>
          <w:r w:rsidR="007D6DB4" w:rsidRPr="007D6DB4">
            <w:rPr>
              <w:rFonts w:ascii="Arial" w:hAnsi="Arial"/>
              <w:lang w:val="fr-FR"/>
            </w:rPr>
            <w:t>dicha</w:t>
          </w:r>
          <w:proofErr w:type="spellEnd"/>
          <w:r w:rsidR="007D6DB4" w:rsidRPr="007D6DB4">
            <w:rPr>
              <w:rFonts w:ascii="Arial" w:hAnsi="Arial"/>
              <w:lang w:val="fr-FR"/>
            </w:rPr>
            <w:t xml:space="preserve"> </w:t>
          </w:r>
          <w:proofErr w:type="spellStart"/>
          <w:r w:rsidR="007D6DB4" w:rsidRPr="007D6DB4">
            <w:rPr>
              <w:rFonts w:ascii="Arial" w:hAnsi="Arial"/>
              <w:lang w:val="fr-FR"/>
            </w:rPr>
            <w:t>obligación</w:t>
          </w:r>
          <w:proofErr w:type="spellEnd"/>
          <w:r w:rsidR="007D6DB4" w:rsidRPr="007D6DB4">
            <w:rPr>
              <w:rFonts w:ascii="Arial" w:hAnsi="Arial"/>
              <w:lang w:val="fr-FR"/>
            </w:rPr>
            <w:t xml:space="preserve">…”. </w:t>
          </w:r>
          <w:proofErr w:type="spellStart"/>
          <w:r w:rsidR="007D6DB4" w:rsidRPr="007D6DB4">
            <w:rPr>
              <w:rFonts w:ascii="Arial" w:hAnsi="Arial"/>
              <w:lang w:val="fr-FR"/>
            </w:rPr>
            <w:t>Pero</w:t>
          </w:r>
          <w:proofErr w:type="spellEnd"/>
          <w:r w:rsidR="007D6DB4" w:rsidRPr="007D6DB4">
            <w:rPr>
              <w:rFonts w:ascii="Arial" w:hAnsi="Arial"/>
              <w:lang w:val="fr-FR"/>
            </w:rPr>
            <w:t xml:space="preserve">, </w:t>
          </w:r>
          <w:proofErr w:type="spellStart"/>
          <w:r w:rsidR="007D6DB4" w:rsidRPr="007D6DB4">
            <w:rPr>
              <w:rFonts w:ascii="Arial" w:hAnsi="Arial"/>
              <w:lang w:val="fr-FR"/>
            </w:rPr>
            <w:t>como</w:t>
          </w:r>
          <w:proofErr w:type="spellEnd"/>
          <w:r w:rsidR="007D6DB4" w:rsidRPr="007D6DB4">
            <w:rPr>
              <w:rFonts w:ascii="Arial" w:hAnsi="Arial"/>
              <w:lang w:val="fr-FR"/>
            </w:rPr>
            <w:t xml:space="preserve"> </w:t>
          </w:r>
          <w:proofErr w:type="spellStart"/>
          <w:r w:rsidR="007D6DB4" w:rsidRPr="007D6DB4">
            <w:rPr>
              <w:rFonts w:ascii="Arial" w:hAnsi="Arial"/>
              <w:lang w:val="fr-FR"/>
            </w:rPr>
            <w:t>señala</w:t>
          </w:r>
          <w:proofErr w:type="spellEnd"/>
          <w:r w:rsidR="007D6DB4" w:rsidRPr="007D6DB4">
            <w:rPr>
              <w:rFonts w:ascii="Arial" w:hAnsi="Arial"/>
              <w:lang w:val="fr-FR"/>
            </w:rPr>
            <w:t xml:space="preserve"> el Tribunal, el art. 29 “no </w:t>
          </w:r>
          <w:proofErr w:type="spellStart"/>
          <w:r w:rsidR="007D6DB4" w:rsidRPr="007D6DB4">
            <w:rPr>
              <w:rFonts w:ascii="Arial" w:hAnsi="Arial"/>
              <w:lang w:val="fr-FR"/>
            </w:rPr>
            <w:t>constituye</w:t>
          </w:r>
          <w:proofErr w:type="spellEnd"/>
          <w:r w:rsidR="007D6DB4" w:rsidRPr="007D6DB4">
            <w:rPr>
              <w:rFonts w:ascii="Arial" w:hAnsi="Arial"/>
              <w:lang w:val="fr-FR"/>
            </w:rPr>
            <w:t xml:space="preserve"> un </w:t>
          </w:r>
          <w:proofErr w:type="spellStart"/>
          <w:r w:rsidR="007D6DB4" w:rsidRPr="007D6DB4">
            <w:rPr>
              <w:rFonts w:ascii="Arial" w:hAnsi="Arial"/>
              <w:lang w:val="fr-FR"/>
            </w:rPr>
            <w:t>cauce</w:t>
          </w:r>
          <w:proofErr w:type="spellEnd"/>
          <w:r w:rsidR="007D6DB4" w:rsidRPr="007D6DB4">
            <w:rPr>
              <w:rFonts w:ascii="Arial" w:hAnsi="Arial"/>
              <w:lang w:val="fr-FR"/>
            </w:rPr>
            <w:t xml:space="preserve"> </w:t>
          </w:r>
          <w:proofErr w:type="spellStart"/>
          <w:r w:rsidR="007D6DB4" w:rsidRPr="007D6DB4">
            <w:rPr>
              <w:rFonts w:ascii="Arial" w:hAnsi="Arial"/>
              <w:lang w:val="fr-FR"/>
            </w:rPr>
            <w:t>procesal</w:t>
          </w:r>
          <w:proofErr w:type="spellEnd"/>
          <w:r w:rsidR="007D6DB4" w:rsidRPr="007D6DB4">
            <w:rPr>
              <w:rFonts w:ascii="Arial" w:hAnsi="Arial"/>
              <w:lang w:val="fr-FR"/>
            </w:rPr>
            <w:t xml:space="preserve"> </w:t>
          </w:r>
          <w:proofErr w:type="spellStart"/>
          <w:r w:rsidR="007D6DB4" w:rsidRPr="007D6DB4">
            <w:rPr>
              <w:rFonts w:ascii="Arial" w:hAnsi="Arial"/>
              <w:lang w:val="fr-FR"/>
            </w:rPr>
            <w:t>idóneo</w:t>
          </w:r>
          <w:proofErr w:type="spellEnd"/>
          <w:r w:rsidR="007D6DB4" w:rsidRPr="007D6DB4">
            <w:rPr>
              <w:rFonts w:ascii="Arial" w:hAnsi="Arial"/>
              <w:lang w:val="fr-FR"/>
            </w:rPr>
            <w:t xml:space="preserve"> para </w:t>
          </w:r>
          <w:proofErr w:type="spellStart"/>
          <w:r w:rsidR="007D6DB4" w:rsidRPr="007D6DB4">
            <w:rPr>
              <w:rFonts w:ascii="Arial" w:hAnsi="Arial"/>
              <w:lang w:val="fr-FR"/>
            </w:rPr>
            <w:t>pretender</w:t>
          </w:r>
          <w:proofErr w:type="spellEnd"/>
          <w:r w:rsidR="007D6DB4" w:rsidRPr="007D6DB4">
            <w:rPr>
              <w:rFonts w:ascii="Arial" w:hAnsi="Arial"/>
              <w:lang w:val="fr-FR"/>
            </w:rPr>
            <w:t xml:space="preserve"> el </w:t>
          </w:r>
          <w:proofErr w:type="spellStart"/>
          <w:r w:rsidR="007D6DB4" w:rsidRPr="007D6DB4">
            <w:rPr>
              <w:rFonts w:ascii="Arial" w:hAnsi="Arial"/>
              <w:lang w:val="fr-FR"/>
            </w:rPr>
            <w:t>cumplimiento</w:t>
          </w:r>
          <w:proofErr w:type="spellEnd"/>
          <w:r w:rsidR="007D6DB4" w:rsidRPr="007D6DB4">
            <w:rPr>
              <w:rFonts w:ascii="Arial" w:hAnsi="Arial"/>
              <w:lang w:val="fr-FR"/>
            </w:rPr>
            <w:t xml:space="preserve"> </w:t>
          </w:r>
          <w:proofErr w:type="spellStart"/>
          <w:r w:rsidR="007D6DB4" w:rsidRPr="007D6DB4">
            <w:rPr>
              <w:rFonts w:ascii="Arial" w:hAnsi="Arial"/>
              <w:lang w:val="fr-FR"/>
            </w:rPr>
            <w:t>por</w:t>
          </w:r>
          <w:proofErr w:type="spellEnd"/>
          <w:r w:rsidR="007D6DB4" w:rsidRPr="007D6DB4">
            <w:rPr>
              <w:rFonts w:ascii="Arial" w:hAnsi="Arial"/>
              <w:lang w:val="fr-FR"/>
            </w:rPr>
            <w:t xml:space="preserve"> la </w:t>
          </w:r>
          <w:proofErr w:type="spellStart"/>
          <w:r w:rsidR="007D6DB4" w:rsidRPr="007D6DB4">
            <w:rPr>
              <w:rFonts w:ascii="Arial" w:hAnsi="Arial"/>
              <w:lang w:val="fr-FR"/>
            </w:rPr>
            <w:t>Administración</w:t>
          </w:r>
          <w:proofErr w:type="spellEnd"/>
          <w:r w:rsidR="007D6DB4" w:rsidRPr="007D6DB4">
            <w:rPr>
              <w:rFonts w:ascii="Arial" w:hAnsi="Arial"/>
              <w:lang w:val="fr-FR"/>
            </w:rPr>
            <w:t xml:space="preserve"> de </w:t>
          </w:r>
          <w:proofErr w:type="spellStart"/>
          <w:r w:rsidR="007D6DB4" w:rsidRPr="007D6DB4">
            <w:rPr>
              <w:rFonts w:ascii="Arial" w:hAnsi="Arial"/>
              <w:lang w:val="fr-FR"/>
            </w:rPr>
            <w:t>obligaciones</w:t>
          </w:r>
          <w:proofErr w:type="spellEnd"/>
          <w:r w:rsidR="007D6DB4" w:rsidRPr="007D6DB4">
            <w:rPr>
              <w:rFonts w:ascii="Arial" w:hAnsi="Arial"/>
              <w:lang w:val="fr-FR"/>
            </w:rPr>
            <w:t xml:space="preserve"> que </w:t>
          </w:r>
          <w:proofErr w:type="spellStart"/>
          <w:r w:rsidR="007D6DB4" w:rsidRPr="007D6DB4">
            <w:rPr>
              <w:rFonts w:ascii="Arial" w:hAnsi="Arial"/>
              <w:lang w:val="fr-FR"/>
            </w:rPr>
            <w:t>requieren</w:t>
          </w:r>
          <w:proofErr w:type="spellEnd"/>
          <w:r w:rsidR="007D6DB4" w:rsidRPr="007D6DB4">
            <w:rPr>
              <w:rFonts w:ascii="Arial" w:hAnsi="Arial"/>
              <w:lang w:val="fr-FR"/>
            </w:rPr>
            <w:t xml:space="preserve"> la </w:t>
          </w:r>
          <w:proofErr w:type="spellStart"/>
          <w:r w:rsidR="007D6DB4" w:rsidRPr="007D6DB4">
            <w:rPr>
              <w:rFonts w:ascii="Arial" w:hAnsi="Arial"/>
              <w:lang w:val="fr-FR"/>
            </w:rPr>
            <w:t>tramitación</w:t>
          </w:r>
          <w:proofErr w:type="spellEnd"/>
          <w:r w:rsidR="007D6DB4" w:rsidRPr="007D6DB4">
            <w:rPr>
              <w:rFonts w:ascii="Arial" w:hAnsi="Arial"/>
              <w:lang w:val="fr-FR"/>
            </w:rPr>
            <w:t xml:space="preserve"> </w:t>
          </w:r>
          <w:proofErr w:type="gramStart"/>
          <w:r w:rsidR="007D6DB4" w:rsidRPr="007D6DB4">
            <w:rPr>
              <w:rFonts w:ascii="Arial" w:hAnsi="Arial"/>
              <w:lang w:val="fr-FR"/>
            </w:rPr>
            <w:t>de</w:t>
          </w:r>
          <w:r w:rsidR="00FA2E13">
            <w:rPr>
              <w:rFonts w:ascii="Arial" w:hAnsi="Arial"/>
              <w:lang w:val="fr-FR"/>
            </w:rPr>
            <w:t xml:space="preserve"> </w:t>
          </w:r>
          <w:r w:rsidR="007D6DB4" w:rsidRPr="007D6DB4">
            <w:rPr>
              <w:rFonts w:ascii="Arial" w:hAnsi="Arial"/>
              <w:lang w:val="fr-FR"/>
            </w:rPr>
            <w:t>un</w:t>
          </w:r>
          <w:proofErr w:type="gramEnd"/>
          <w:r w:rsidR="007D6DB4" w:rsidRPr="007D6DB4">
            <w:rPr>
              <w:rFonts w:ascii="Arial" w:hAnsi="Arial"/>
              <w:lang w:val="fr-FR"/>
            </w:rPr>
            <w:t xml:space="preserve"> </w:t>
          </w:r>
          <w:proofErr w:type="spellStart"/>
          <w:r w:rsidR="007D6DB4" w:rsidRPr="007D6DB4">
            <w:rPr>
              <w:rFonts w:ascii="Arial" w:hAnsi="Arial"/>
              <w:lang w:val="fr-FR"/>
            </w:rPr>
            <w:t>procedimiento</w:t>
          </w:r>
          <w:proofErr w:type="spellEnd"/>
          <w:r w:rsidR="007D6DB4" w:rsidRPr="007D6DB4">
            <w:rPr>
              <w:rFonts w:ascii="Arial" w:hAnsi="Arial"/>
              <w:lang w:val="fr-FR"/>
            </w:rPr>
            <w:t xml:space="preserve"> </w:t>
          </w:r>
          <w:proofErr w:type="spellStart"/>
          <w:r w:rsidR="007D6DB4" w:rsidRPr="007D6DB4">
            <w:rPr>
              <w:rFonts w:ascii="Arial" w:hAnsi="Arial"/>
              <w:lang w:val="fr-FR"/>
            </w:rPr>
            <w:t>contradictorio</w:t>
          </w:r>
          <w:proofErr w:type="spellEnd"/>
          <w:r w:rsidR="007D6DB4" w:rsidRPr="007D6DB4">
            <w:rPr>
              <w:rFonts w:ascii="Arial" w:hAnsi="Arial"/>
              <w:lang w:val="fr-FR"/>
            </w:rPr>
            <w:t xml:space="preserve"> antes de su </w:t>
          </w:r>
          <w:proofErr w:type="spellStart"/>
          <w:r w:rsidR="007D6DB4" w:rsidRPr="007D6DB4">
            <w:rPr>
              <w:rFonts w:ascii="Arial" w:hAnsi="Arial"/>
              <w:lang w:val="fr-FR"/>
            </w:rPr>
            <w:t>resolución</w:t>
          </w:r>
          <w:proofErr w:type="spellEnd"/>
          <w:r w:rsidR="007D6DB4" w:rsidRPr="007D6DB4">
            <w:rPr>
              <w:rFonts w:ascii="Arial" w:hAnsi="Arial"/>
              <w:lang w:val="fr-FR"/>
            </w:rPr>
            <w:t>”</w:t>
          </w:r>
        </w:sdtContent>
      </w:sdt>
    </w:p>
    <w:p w14:paraId="28291625" w14:textId="77777777" w:rsidR="00FA2E13" w:rsidRPr="00FA2E13" w:rsidRDefault="00FA2E13" w:rsidP="00FA2E13">
      <w:pPr>
        <w:rPr>
          <w:rFonts w:ascii="Arial" w:hAnsi="Arial"/>
        </w:rPr>
      </w:pPr>
      <w:r w:rsidRPr="00FA2E13">
        <w:rPr>
          <w:rFonts w:ascii="Arial" w:hAnsi="Arial"/>
        </w:rPr>
        <w:t>En efecto, para poder sancionar es precisa la tramitación de un procedimiento sancionador; pero incluso para la adopción de medidas de policía como el cierre cautelar del establecimiento se precisa un acto administrativo previa audiencia al afectado.</w:t>
      </w:r>
    </w:p>
    <w:p w14:paraId="7DED6911" w14:textId="4B434DB3" w:rsidR="00372E91" w:rsidRPr="00740B4F" w:rsidRDefault="00FA2E13" w:rsidP="00FA2E13">
      <w:pPr>
        <w:rPr>
          <w:rFonts w:ascii="Arial" w:hAnsi="Arial"/>
        </w:rPr>
      </w:pPr>
      <w:r w:rsidRPr="00FA2E13">
        <w:rPr>
          <w:rFonts w:ascii="Arial" w:hAnsi="Arial"/>
        </w:rPr>
        <w:lastRenderedPageBreak/>
        <w:t>En definitiva, aunque pudiera haber ruidos que sobrepasen los umbrales permitidos, es imprescindible utilizar el cauce adecuado. Y la impugnación de la inactividad administrativa, aunque rompe con el tradicional carácter revisor de la Jurisdicción contencioso-administrativa, ha sido acogida por la Ley de forma muy restrictiva.</w:t>
      </w:r>
    </w:p>
    <w:p w14:paraId="15614A41" w14:textId="77777777" w:rsidR="00CB043D" w:rsidRPr="00740B4F" w:rsidRDefault="00CB043D" w:rsidP="00372E91">
      <w:pPr>
        <w:rPr>
          <w:rFonts w:ascii="Arial" w:hAnsi="Arial"/>
          <w:lang w:val="es-ES_tradnl"/>
        </w:rPr>
      </w:pPr>
    </w:p>
    <w:p w14:paraId="17B56923" w14:textId="77777777" w:rsidR="00DD3CC8" w:rsidRPr="00740B4F" w:rsidRDefault="00DD3CC8" w:rsidP="00372E91">
      <w:pPr>
        <w:rPr>
          <w:rFonts w:ascii="Arial" w:hAnsi="Arial"/>
          <w:lang w:val="es-ES_tradnl"/>
        </w:rPr>
      </w:pPr>
    </w:p>
    <w:p w14:paraId="258F2907" w14:textId="77777777" w:rsidR="00DD3CC8" w:rsidRPr="00740B4F" w:rsidRDefault="00DD3CC8" w:rsidP="00372E91">
      <w:pPr>
        <w:rPr>
          <w:rFonts w:ascii="Arial" w:hAnsi="Arial"/>
          <w:lang w:val="es-ES_tradnl"/>
        </w:rPr>
      </w:pPr>
    </w:p>
    <w:p w14:paraId="0025A5B3" w14:textId="77777777" w:rsidR="00DD3CC8" w:rsidRPr="00740B4F" w:rsidRDefault="00DD3CC8" w:rsidP="00372E91">
      <w:pPr>
        <w:rPr>
          <w:rFonts w:ascii="Arial" w:hAnsi="Arial"/>
          <w:lang w:val="es-ES_tradnl"/>
        </w:rPr>
      </w:pPr>
    </w:p>
    <w:p w14:paraId="3F526153" w14:textId="77777777" w:rsidR="00DD3CC8" w:rsidRPr="00740B4F" w:rsidRDefault="00DD3CC8" w:rsidP="00372E91">
      <w:pPr>
        <w:rPr>
          <w:rFonts w:ascii="Arial" w:hAnsi="Arial"/>
          <w:lang w:val="es-ES_tradnl"/>
        </w:rPr>
      </w:pPr>
    </w:p>
    <w:p w14:paraId="566C87D1" w14:textId="77777777" w:rsidR="00DD3CC8" w:rsidRPr="00740B4F" w:rsidRDefault="00DD3CC8" w:rsidP="00372E91">
      <w:pPr>
        <w:rPr>
          <w:rFonts w:ascii="Arial" w:hAnsi="Arial"/>
          <w:lang w:val="es-ES_tradnl"/>
        </w:rPr>
      </w:pPr>
    </w:p>
    <w:p w14:paraId="1CA33CE9" w14:textId="77777777" w:rsidR="00DD3CC8" w:rsidRPr="00740B4F" w:rsidRDefault="00DD3CC8" w:rsidP="00372E91">
      <w:pPr>
        <w:rPr>
          <w:rFonts w:ascii="Arial" w:hAnsi="Arial"/>
          <w:lang w:val="es-ES_tradnl"/>
        </w:rPr>
      </w:pPr>
    </w:p>
    <w:p w14:paraId="3D648445" w14:textId="77777777" w:rsidR="00DD3CC8" w:rsidRPr="00740B4F" w:rsidRDefault="00DD3CC8" w:rsidP="00372E91">
      <w:pPr>
        <w:rPr>
          <w:rFonts w:ascii="Arial" w:hAnsi="Arial"/>
          <w:lang w:val="es-ES_tradnl"/>
        </w:rPr>
      </w:pPr>
    </w:p>
    <w:p w14:paraId="54332BCC" w14:textId="77777777" w:rsidR="00DD3CC8" w:rsidRPr="00740B4F" w:rsidRDefault="00DD3CC8" w:rsidP="00372E91">
      <w:pPr>
        <w:rPr>
          <w:rFonts w:ascii="Arial" w:hAnsi="Arial"/>
          <w:lang w:val="es-ES_tradnl"/>
        </w:rPr>
      </w:pPr>
    </w:p>
    <w:p w14:paraId="4A241E0E" w14:textId="77777777" w:rsidR="00DD3CC8" w:rsidRPr="00740B4F" w:rsidRDefault="00DD3CC8" w:rsidP="00372E91">
      <w:pPr>
        <w:rPr>
          <w:rFonts w:ascii="Arial" w:hAnsi="Arial"/>
          <w:lang w:val="es-ES_tradnl"/>
        </w:rPr>
      </w:pPr>
    </w:p>
    <w:p w14:paraId="66A1DCF8" w14:textId="77777777" w:rsidR="00DD3CC8" w:rsidRPr="00740B4F" w:rsidRDefault="00DD3CC8" w:rsidP="00372E91">
      <w:pPr>
        <w:rPr>
          <w:rFonts w:ascii="Arial" w:hAnsi="Arial"/>
          <w:lang w:val="es-ES_tradnl"/>
        </w:rPr>
      </w:pPr>
    </w:p>
    <w:p w14:paraId="6AA706C9" w14:textId="77777777" w:rsidR="00DD3CC8" w:rsidRPr="00740B4F" w:rsidRDefault="00DD3CC8" w:rsidP="00372E91">
      <w:pPr>
        <w:rPr>
          <w:rFonts w:ascii="Arial" w:hAnsi="Arial"/>
          <w:lang w:val="es-ES_tradnl"/>
        </w:rPr>
      </w:pPr>
    </w:p>
    <w:p w14:paraId="24BC2E0E" w14:textId="77777777" w:rsidR="00DD3CC8" w:rsidRPr="00740B4F" w:rsidRDefault="00DD3CC8" w:rsidP="00372E91">
      <w:pPr>
        <w:rPr>
          <w:rFonts w:ascii="Arial" w:hAnsi="Arial"/>
          <w:lang w:val="es-ES_tradnl"/>
        </w:rPr>
      </w:pPr>
    </w:p>
    <w:p w14:paraId="623F8B2D" w14:textId="77777777" w:rsidR="00DD3CC8" w:rsidRPr="00740B4F" w:rsidRDefault="00DD3CC8" w:rsidP="00372E91">
      <w:pPr>
        <w:rPr>
          <w:rFonts w:ascii="Arial" w:hAnsi="Arial"/>
          <w:lang w:val="es-ES_tradnl"/>
        </w:rPr>
      </w:pP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13BE11FE"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7F7C08" w:rsidRPr="00126992">
        <w:rPr>
          <w:rStyle w:val="Hipervnculo"/>
          <w:lang w:val="pt-BR"/>
        </w:rPr>
        <w:t>http://dx.doi.org/10.17345/rcda.</w:t>
      </w:r>
      <w:r w:rsidR="007F7C08" w:rsidRPr="00126992">
        <w:rPr>
          <w:rStyle w:val="Hipervnculo"/>
          <w:lang w:val="pt-BR"/>
        </w:rPr>
        <w:t>3422</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08A02AC1" w:rsidR="006127B4" w:rsidRPr="00A97BD8" w:rsidRDefault="006127B4">
    <w:pPr>
      <w:pStyle w:val="Encabezado"/>
    </w:pPr>
    <w:r>
      <w:t xml:space="preserve">I. </w:t>
    </w:r>
    <w:r w:rsidR="005C7D7B" w:rsidRPr="005C7D7B">
      <w:t>Sanz Rubiales</w:t>
    </w:r>
    <w:r>
      <w:tab/>
    </w:r>
    <w:r>
      <w:tab/>
    </w:r>
    <w:r>
      <w:rPr>
        <w:i/>
      </w:rPr>
      <w:t xml:space="preserve">RCDA </w:t>
    </w:r>
    <w:r>
      <w:t xml:space="preserve">Vol. </w:t>
    </w:r>
    <w:r w:rsidR="006F57AE">
      <w:t>XIII</w:t>
    </w:r>
    <w:r>
      <w:t xml:space="preserve"> Núm. </w:t>
    </w:r>
    <w:r w:rsidR="006F57AE">
      <w:t>2</w:t>
    </w:r>
    <w:r>
      <w:t xml:space="preserve"> (20</w:t>
    </w:r>
    <w:r w:rsidR="006F57AE">
      <w:t>22</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44F0FC24" w:rsidR="006127B4" w:rsidRPr="00683A5D" w:rsidRDefault="006127B4">
    <w:pPr>
      <w:pStyle w:val="Encabezado"/>
      <w:rPr>
        <w:lang w:val="es-ES"/>
      </w:rPr>
    </w:pPr>
    <w:r w:rsidRPr="00683A5D">
      <w:rPr>
        <w:i/>
        <w:lang w:val="es-ES"/>
      </w:rPr>
      <w:t>RCDA</w:t>
    </w:r>
    <w:r w:rsidRPr="00683A5D">
      <w:rPr>
        <w:lang w:val="es-ES"/>
      </w:rPr>
      <w:t xml:space="preserve"> Vol. </w:t>
    </w:r>
    <w:r w:rsidR="006F57AE" w:rsidRPr="00683A5D">
      <w:rPr>
        <w:lang w:val="es-ES"/>
      </w:rPr>
      <w:t>X</w:t>
    </w:r>
    <w:r w:rsidR="006B3FFD" w:rsidRPr="00683A5D">
      <w:rPr>
        <w:lang w:val="es-ES"/>
      </w:rPr>
      <w:t>III</w:t>
    </w:r>
    <w:r w:rsidRPr="00683A5D">
      <w:rPr>
        <w:lang w:val="es-ES"/>
      </w:rPr>
      <w:t xml:space="preserve"> Núm. </w:t>
    </w:r>
    <w:r w:rsidR="006B3FFD" w:rsidRPr="00683A5D">
      <w:rPr>
        <w:lang w:val="es-ES"/>
      </w:rPr>
      <w:t>2</w:t>
    </w:r>
    <w:r w:rsidRPr="00683A5D">
      <w:rPr>
        <w:lang w:val="es-ES"/>
      </w:rPr>
      <w:t xml:space="preserve"> (20</w:t>
    </w:r>
    <w:r w:rsidR="006B3FFD" w:rsidRPr="00683A5D">
      <w:rPr>
        <w:lang w:val="es-ES"/>
      </w:rPr>
      <w:t>22</w:t>
    </w:r>
    <w:r w:rsidRPr="00683A5D">
      <w:rPr>
        <w:lang w:val="es-ES"/>
      </w:rPr>
      <w:t>)</w:t>
    </w:r>
    <w:r w:rsidRPr="00683A5D">
      <w:rPr>
        <w:lang w:val="es-ES"/>
      </w:rPr>
      <w:tab/>
    </w:r>
    <w:r w:rsidRPr="00683A5D">
      <w:rPr>
        <w:lang w:val="es-ES"/>
      </w:rPr>
      <w:tab/>
    </w:r>
    <w:proofErr w:type="spellStart"/>
    <w:r w:rsidR="00683A5D" w:rsidRPr="00683A5D">
      <w:rPr>
        <w:lang w:val="es-ES"/>
      </w:rPr>
      <w:t>Juris</w:t>
    </w:r>
    <w:proofErr w:type="spellEnd"/>
    <w:r w:rsidR="00683A5D" w:rsidRPr="00683A5D">
      <w:rPr>
        <w:lang w:val="es-ES"/>
      </w:rPr>
      <w:t xml:space="preserve"> </w:t>
    </w:r>
    <w:proofErr w:type="spellStart"/>
    <w:r w:rsidR="00683A5D">
      <w:rPr>
        <w:lang w:val="es-ES"/>
      </w:rPr>
      <w:t>A</w:t>
    </w:r>
    <w:r w:rsidR="00683A5D" w:rsidRPr="00683A5D">
      <w:rPr>
        <w:lang w:val="es-ES"/>
      </w:rPr>
      <w:t>mbien</w:t>
    </w:r>
    <w:proofErr w:type="spellEnd"/>
    <w:r w:rsidR="00683A5D" w:rsidRPr="00683A5D">
      <w:rPr>
        <w:lang w:val="es-ES"/>
      </w:rPr>
      <w:t xml:space="preserve"> Castilla y León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3E9D2469"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035B01">
      <w:t>11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FB3BC8"/>
    <w:multiLevelType w:val="hybridMultilevel"/>
    <w:tmpl w:val="85245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35B01"/>
    <w:rsid w:val="000458B7"/>
    <w:rsid w:val="00045BEC"/>
    <w:rsid w:val="00057E4C"/>
    <w:rsid w:val="000620B9"/>
    <w:rsid w:val="0007105C"/>
    <w:rsid w:val="00087953"/>
    <w:rsid w:val="0009571B"/>
    <w:rsid w:val="000D2E05"/>
    <w:rsid w:val="000E1D7D"/>
    <w:rsid w:val="000F05A2"/>
    <w:rsid w:val="00107A76"/>
    <w:rsid w:val="001421DD"/>
    <w:rsid w:val="001746E8"/>
    <w:rsid w:val="00174DC1"/>
    <w:rsid w:val="00174F50"/>
    <w:rsid w:val="001826D6"/>
    <w:rsid w:val="00192736"/>
    <w:rsid w:val="001A4A45"/>
    <w:rsid w:val="001B1D26"/>
    <w:rsid w:val="001B6829"/>
    <w:rsid w:val="001D7F04"/>
    <w:rsid w:val="001F1932"/>
    <w:rsid w:val="00204909"/>
    <w:rsid w:val="002339BA"/>
    <w:rsid w:val="002640EB"/>
    <w:rsid w:val="00274E5F"/>
    <w:rsid w:val="0028311E"/>
    <w:rsid w:val="00290105"/>
    <w:rsid w:val="002A595F"/>
    <w:rsid w:val="002A7252"/>
    <w:rsid w:val="002C5BC0"/>
    <w:rsid w:val="002D6792"/>
    <w:rsid w:val="003060C2"/>
    <w:rsid w:val="00311E72"/>
    <w:rsid w:val="00321C9B"/>
    <w:rsid w:val="00351202"/>
    <w:rsid w:val="00372E91"/>
    <w:rsid w:val="00375898"/>
    <w:rsid w:val="003774FD"/>
    <w:rsid w:val="003B21C0"/>
    <w:rsid w:val="003C7912"/>
    <w:rsid w:val="00404419"/>
    <w:rsid w:val="004064AB"/>
    <w:rsid w:val="00442B87"/>
    <w:rsid w:val="00475E9B"/>
    <w:rsid w:val="004924FE"/>
    <w:rsid w:val="0049512B"/>
    <w:rsid w:val="005061B9"/>
    <w:rsid w:val="0051069A"/>
    <w:rsid w:val="00514FE2"/>
    <w:rsid w:val="005872FE"/>
    <w:rsid w:val="00595D3E"/>
    <w:rsid w:val="005A0B33"/>
    <w:rsid w:val="005C7D7B"/>
    <w:rsid w:val="006127B4"/>
    <w:rsid w:val="0063330B"/>
    <w:rsid w:val="00646563"/>
    <w:rsid w:val="0064789B"/>
    <w:rsid w:val="00657D7A"/>
    <w:rsid w:val="00663F44"/>
    <w:rsid w:val="00683A5D"/>
    <w:rsid w:val="00687F3D"/>
    <w:rsid w:val="006A14FA"/>
    <w:rsid w:val="006A384E"/>
    <w:rsid w:val="006B3FFD"/>
    <w:rsid w:val="006C3ECE"/>
    <w:rsid w:val="006F57AE"/>
    <w:rsid w:val="007028BF"/>
    <w:rsid w:val="00720A6B"/>
    <w:rsid w:val="00740B4F"/>
    <w:rsid w:val="00745F31"/>
    <w:rsid w:val="0076232D"/>
    <w:rsid w:val="00763DE7"/>
    <w:rsid w:val="00781131"/>
    <w:rsid w:val="00785617"/>
    <w:rsid w:val="00786E15"/>
    <w:rsid w:val="00793223"/>
    <w:rsid w:val="007A447C"/>
    <w:rsid w:val="007B0370"/>
    <w:rsid w:val="007B2FCD"/>
    <w:rsid w:val="007B41A0"/>
    <w:rsid w:val="007C1B89"/>
    <w:rsid w:val="007D6DB4"/>
    <w:rsid w:val="007E15F0"/>
    <w:rsid w:val="007F546E"/>
    <w:rsid w:val="007F7C08"/>
    <w:rsid w:val="00807224"/>
    <w:rsid w:val="00892136"/>
    <w:rsid w:val="008A42FC"/>
    <w:rsid w:val="008B4537"/>
    <w:rsid w:val="008B5B37"/>
    <w:rsid w:val="008D78BC"/>
    <w:rsid w:val="008D7A5C"/>
    <w:rsid w:val="009009F4"/>
    <w:rsid w:val="00910734"/>
    <w:rsid w:val="0091123C"/>
    <w:rsid w:val="00917857"/>
    <w:rsid w:val="00926003"/>
    <w:rsid w:val="009453B6"/>
    <w:rsid w:val="00952FDB"/>
    <w:rsid w:val="0095362E"/>
    <w:rsid w:val="00953DA4"/>
    <w:rsid w:val="009A6C3B"/>
    <w:rsid w:val="009B0871"/>
    <w:rsid w:val="009B69EC"/>
    <w:rsid w:val="009C33A0"/>
    <w:rsid w:val="009C619A"/>
    <w:rsid w:val="009D4065"/>
    <w:rsid w:val="009D5AF5"/>
    <w:rsid w:val="009F042D"/>
    <w:rsid w:val="009F36C9"/>
    <w:rsid w:val="00A10B3F"/>
    <w:rsid w:val="00A25AC6"/>
    <w:rsid w:val="00A3309C"/>
    <w:rsid w:val="00A456E0"/>
    <w:rsid w:val="00A50955"/>
    <w:rsid w:val="00A63FC3"/>
    <w:rsid w:val="00A70C5E"/>
    <w:rsid w:val="00A97BD8"/>
    <w:rsid w:val="00AA12F4"/>
    <w:rsid w:val="00AA6F54"/>
    <w:rsid w:val="00AE6B08"/>
    <w:rsid w:val="00B01412"/>
    <w:rsid w:val="00B04513"/>
    <w:rsid w:val="00B34C8F"/>
    <w:rsid w:val="00B40D93"/>
    <w:rsid w:val="00B4268C"/>
    <w:rsid w:val="00B472B0"/>
    <w:rsid w:val="00B64CA9"/>
    <w:rsid w:val="00B7765D"/>
    <w:rsid w:val="00BA2806"/>
    <w:rsid w:val="00BD232E"/>
    <w:rsid w:val="00BD4FF3"/>
    <w:rsid w:val="00BE2972"/>
    <w:rsid w:val="00BE68CB"/>
    <w:rsid w:val="00BF31E0"/>
    <w:rsid w:val="00BF37BB"/>
    <w:rsid w:val="00BF52B5"/>
    <w:rsid w:val="00C25669"/>
    <w:rsid w:val="00C2753C"/>
    <w:rsid w:val="00C34CCB"/>
    <w:rsid w:val="00C36452"/>
    <w:rsid w:val="00C47218"/>
    <w:rsid w:val="00C51BF3"/>
    <w:rsid w:val="00CB043D"/>
    <w:rsid w:val="00CC15ED"/>
    <w:rsid w:val="00CC2115"/>
    <w:rsid w:val="00CC5DE0"/>
    <w:rsid w:val="00CD129E"/>
    <w:rsid w:val="00CE7F6A"/>
    <w:rsid w:val="00CF00B9"/>
    <w:rsid w:val="00D15CF3"/>
    <w:rsid w:val="00D30004"/>
    <w:rsid w:val="00D30429"/>
    <w:rsid w:val="00D46B04"/>
    <w:rsid w:val="00D54CF1"/>
    <w:rsid w:val="00D83C19"/>
    <w:rsid w:val="00DB0375"/>
    <w:rsid w:val="00DC1B9F"/>
    <w:rsid w:val="00DD3CC8"/>
    <w:rsid w:val="00DF5C97"/>
    <w:rsid w:val="00E1419A"/>
    <w:rsid w:val="00E41CB2"/>
    <w:rsid w:val="00E4506D"/>
    <w:rsid w:val="00E66E9A"/>
    <w:rsid w:val="00E671DD"/>
    <w:rsid w:val="00E87BD6"/>
    <w:rsid w:val="00EA33EB"/>
    <w:rsid w:val="00EB7827"/>
    <w:rsid w:val="00EE06EC"/>
    <w:rsid w:val="00EE5F03"/>
    <w:rsid w:val="00EF19F7"/>
    <w:rsid w:val="00EF5A78"/>
    <w:rsid w:val="00F26ED6"/>
    <w:rsid w:val="00F342E5"/>
    <w:rsid w:val="00F36B5C"/>
    <w:rsid w:val="00F45314"/>
    <w:rsid w:val="00F57D6F"/>
    <w:rsid w:val="00F6520E"/>
    <w:rsid w:val="00FA2E13"/>
    <w:rsid w:val="00FC7FB9"/>
    <w:rsid w:val="00FD419D"/>
    <w:rsid w:val="00FE1612"/>
    <w:rsid w:val="00FE773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s-ES"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qFormat/>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paragraph" w:customStyle="1" w:styleId="Default">
    <w:name w:val="Default"/>
    <w:rsid w:val="00DB0375"/>
    <w:pPr>
      <w:autoSpaceDE w:val="0"/>
      <w:autoSpaceDN w:val="0"/>
      <w:adjustRightInd w:val="0"/>
    </w:pPr>
    <w:rPr>
      <w:rFonts w:ascii="Roboto" w:eastAsiaTheme="minorHAnsi" w:hAnsi="Roboto" w:cs="Roboto"/>
      <w:color w:val="000000"/>
      <w:lang w:val="es-ES" w:eastAsia="en-US"/>
    </w:rPr>
  </w:style>
  <w:style w:type="character" w:styleId="Mencinsinresolver">
    <w:name w:val="Unresolved Mention"/>
    <w:basedOn w:val="Fuentedeprrafopredeter"/>
    <w:uiPriority w:val="99"/>
    <w:semiHidden/>
    <w:unhideWhenUsed/>
    <w:rsid w:val="007F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F4EEB55E64A41B9EB95A5BF8BA645"/>
        <w:category>
          <w:name w:val="General"/>
          <w:gallery w:val="placeholder"/>
        </w:category>
        <w:types>
          <w:type w:val="bbPlcHdr"/>
        </w:types>
        <w:behaviors>
          <w:behavior w:val="content"/>
        </w:behaviors>
        <w:guid w:val="{2E449475-99F1-5B4F-A35B-DA0E8D939378}"/>
      </w:docPartPr>
      <w:docPartBody>
        <w:p w:rsidR="00A47176" w:rsidRDefault="00A47176" w:rsidP="00A47176">
          <w:pPr>
            <w:pStyle w:val="A70F4EEB55E64A41B9EB95A5BF8BA64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531E42E4BD7F4C6EB68C4F1A84AC9D89"/>
        <w:category>
          <w:name w:val="General"/>
          <w:gallery w:val="placeholder"/>
        </w:category>
        <w:types>
          <w:type w:val="bbPlcHdr"/>
        </w:types>
        <w:behaviors>
          <w:behavior w:val="content"/>
        </w:behaviors>
        <w:guid w:val="{D58B9316-70DF-4772-A2D1-1E972698D045}"/>
      </w:docPartPr>
      <w:docPartBody>
        <w:p w:rsidR="00000000" w:rsidRDefault="006374EE" w:rsidP="006374EE">
          <w:pPr>
            <w:pStyle w:val="531E42E4BD7F4C6EB68C4F1A84AC9D8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8025E848A28480AB81D62F643037B77"/>
        <w:category>
          <w:name w:val="General"/>
          <w:gallery w:val="placeholder"/>
        </w:category>
        <w:types>
          <w:type w:val="bbPlcHdr"/>
        </w:types>
        <w:behaviors>
          <w:behavior w:val="content"/>
        </w:behaviors>
        <w:guid w:val="{32CB48D1-81A6-4D7A-A231-73B643B75ECD}"/>
      </w:docPartPr>
      <w:docPartBody>
        <w:p w:rsidR="00000000" w:rsidRDefault="006374EE" w:rsidP="006374EE">
          <w:pPr>
            <w:pStyle w:val="A8025E848A28480AB81D62F643037B7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9583C6DD1584E1CBC2A150DE63909FF"/>
        <w:category>
          <w:name w:val="General"/>
          <w:gallery w:val="placeholder"/>
        </w:category>
        <w:types>
          <w:type w:val="bbPlcHdr"/>
        </w:types>
        <w:behaviors>
          <w:behavior w:val="content"/>
        </w:behaviors>
        <w:guid w:val="{DD4DB473-A11B-4541-88BF-3E8186F44DBD}"/>
      </w:docPartPr>
      <w:docPartBody>
        <w:p w:rsidR="00000000" w:rsidRDefault="006374EE" w:rsidP="006374EE">
          <w:pPr>
            <w:pStyle w:val="09583C6DD1584E1CBC2A150DE63909F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485B2790960482D9276C22394CBA895"/>
        <w:category>
          <w:name w:val="General"/>
          <w:gallery w:val="placeholder"/>
        </w:category>
        <w:types>
          <w:type w:val="bbPlcHdr"/>
        </w:types>
        <w:behaviors>
          <w:behavior w:val="content"/>
        </w:behaviors>
        <w:guid w:val="{EC05418E-35E6-40B2-B342-5D5A7BF4FF12}"/>
      </w:docPartPr>
      <w:docPartBody>
        <w:p w:rsidR="00000000" w:rsidRDefault="006374EE" w:rsidP="006374EE">
          <w:pPr>
            <w:pStyle w:val="C485B2790960482D9276C22394CBA89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6374EE"/>
    <w:rsid w:val="007113ED"/>
    <w:rsid w:val="007207C5"/>
    <w:rsid w:val="00A33D8A"/>
    <w:rsid w:val="00A47176"/>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531E42E4BD7F4C6EB68C4F1A84AC9D89">
    <w:name w:val="531E42E4BD7F4C6EB68C4F1A84AC9D89"/>
    <w:rsid w:val="006374EE"/>
    <w:pPr>
      <w:spacing w:after="160" w:line="259" w:lineRule="auto"/>
    </w:pPr>
    <w:rPr>
      <w:sz w:val="22"/>
      <w:szCs w:val="22"/>
      <w:lang w:eastAsia="es-ES"/>
    </w:rPr>
  </w:style>
  <w:style w:type="paragraph" w:customStyle="1" w:styleId="B2E8E5D8ED814F0A95EB35518572FDAE">
    <w:name w:val="B2E8E5D8ED814F0A95EB35518572FDAE"/>
    <w:rsid w:val="006374EE"/>
    <w:pPr>
      <w:spacing w:after="160" w:line="259" w:lineRule="auto"/>
    </w:pPr>
    <w:rPr>
      <w:sz w:val="22"/>
      <w:szCs w:val="22"/>
      <w:lang w:eastAsia="es-ES"/>
    </w:rPr>
  </w:style>
  <w:style w:type="paragraph" w:customStyle="1" w:styleId="A8025E848A28480AB81D62F643037B77">
    <w:name w:val="A8025E848A28480AB81D62F643037B77"/>
    <w:rsid w:val="006374EE"/>
    <w:pPr>
      <w:spacing w:after="160" w:line="259" w:lineRule="auto"/>
    </w:pPr>
    <w:rPr>
      <w:sz w:val="22"/>
      <w:szCs w:val="22"/>
      <w:lang w:eastAsia="es-ES"/>
    </w:rPr>
  </w:style>
  <w:style w:type="paragraph" w:customStyle="1" w:styleId="242C35C9984D4B17A84EFD240A9795C7">
    <w:name w:val="242C35C9984D4B17A84EFD240A9795C7"/>
    <w:rsid w:val="006374EE"/>
    <w:pPr>
      <w:spacing w:after="160" w:line="259" w:lineRule="auto"/>
    </w:pPr>
    <w:rPr>
      <w:sz w:val="22"/>
      <w:szCs w:val="22"/>
      <w:lang w:eastAsia="es-ES"/>
    </w:rPr>
  </w:style>
  <w:style w:type="paragraph" w:customStyle="1" w:styleId="09583C6DD1584E1CBC2A150DE63909FF">
    <w:name w:val="09583C6DD1584E1CBC2A150DE63909FF"/>
    <w:rsid w:val="006374EE"/>
    <w:pPr>
      <w:spacing w:after="160" w:line="259" w:lineRule="auto"/>
    </w:pPr>
    <w:rPr>
      <w:sz w:val="22"/>
      <w:szCs w:val="22"/>
      <w:lang w:eastAsia="es-ES"/>
    </w:rPr>
  </w:style>
  <w:style w:type="paragraph" w:customStyle="1" w:styleId="63F8337B3AB3430CBC431AC772D90845">
    <w:name w:val="63F8337B3AB3430CBC431AC772D90845"/>
    <w:rsid w:val="006374EE"/>
    <w:pPr>
      <w:spacing w:after="160" w:line="259" w:lineRule="auto"/>
    </w:pPr>
    <w:rPr>
      <w:sz w:val="22"/>
      <w:szCs w:val="22"/>
      <w:lang w:eastAsia="es-ES"/>
    </w:rPr>
  </w:style>
  <w:style w:type="paragraph" w:customStyle="1" w:styleId="C485B2790960482D9276C22394CBA895">
    <w:name w:val="C485B2790960482D9276C22394CBA895"/>
    <w:rsid w:val="006374EE"/>
    <w:pPr>
      <w:spacing w:after="160" w:line="259" w:lineRule="auto"/>
    </w:pPr>
    <w:rPr>
      <w:sz w:val="22"/>
      <w:szCs w:val="22"/>
      <w:lang w:eastAsia="es-ES"/>
    </w:rPr>
  </w:style>
  <w:style w:type="paragraph" w:customStyle="1" w:styleId="8A7AFB777A014B59A2A850CB14276517">
    <w:name w:val="8A7AFB777A014B59A2A850CB14276517"/>
    <w:rsid w:val="006374EE"/>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3445</Words>
  <Characters>18953</Characters>
  <Application>Microsoft Office Word</Application>
  <DocSecurity>0</DocSecurity>
  <Lines>157</Lines>
  <Paragraphs>44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51</cp:revision>
  <dcterms:created xsi:type="dcterms:W3CDTF">2016-11-18T12:40:00Z</dcterms:created>
  <dcterms:modified xsi:type="dcterms:W3CDTF">2022-11-23T17:08:00Z</dcterms:modified>
</cp:coreProperties>
</file>