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278E43CB" w14:textId="3F49722A" w:rsidR="00CB043D" w:rsidRPr="00740B4F" w:rsidRDefault="00785BA0" w:rsidP="006127B4">
      <w:pPr>
        <w:pStyle w:val="Ttulo"/>
        <w:rPr>
          <w:rFonts w:ascii="Arial" w:hAnsi="Arial"/>
        </w:rPr>
      </w:pPr>
      <w:r w:rsidRPr="00785BA0">
        <w:rPr>
          <w:rFonts w:ascii="Arial" w:hAnsi="Arial"/>
        </w:rPr>
        <w:t>JURISPRUDENCIA AMBIENTAL EN LA RIOJA</w:t>
      </w:r>
    </w:p>
    <w:p w14:paraId="0405F4EA" w14:textId="77777777" w:rsidR="00CB043D" w:rsidRPr="00740B4F" w:rsidRDefault="00CB043D" w:rsidP="00CB043D">
      <w:pPr>
        <w:spacing w:after="0"/>
        <w:jc w:val="center"/>
        <w:rPr>
          <w:rFonts w:ascii="Arial" w:hAnsi="Arial"/>
          <w:i/>
          <w:lang w:val="es-ES_tradnl"/>
        </w:rPr>
      </w:pPr>
    </w:p>
    <w:p w14:paraId="35B809D7" w14:textId="5E6B64DB" w:rsidR="00CB043D" w:rsidRPr="00740B4F" w:rsidRDefault="00785BA0" w:rsidP="000128E0">
      <w:pPr>
        <w:pStyle w:val="Subttulo"/>
        <w:rPr>
          <w:rFonts w:ascii="Arial" w:hAnsi="Arial"/>
          <w:smallCaps/>
        </w:rPr>
      </w:pPr>
      <w:r w:rsidRPr="00785BA0">
        <w:rPr>
          <w:rFonts w:ascii="Arial" w:hAnsi="Arial"/>
          <w:smallCaps/>
        </w:rPr>
        <w:t>RENÉ JAVIER SANTAMARÍA ARINAS</w:t>
      </w:r>
    </w:p>
    <w:p w14:paraId="1AF81E63" w14:textId="69888DCD" w:rsidR="00F96791" w:rsidRPr="00F96791" w:rsidRDefault="00F96791" w:rsidP="00F96791">
      <w:pPr>
        <w:jc w:val="center"/>
        <w:rPr>
          <w:rFonts w:ascii="Arial" w:hAnsi="Arial"/>
          <w:i/>
          <w:lang w:val="es-ES"/>
        </w:rPr>
      </w:pPr>
      <w:r w:rsidRPr="00F96791">
        <w:rPr>
          <w:rFonts w:ascii="Arial" w:hAnsi="Arial"/>
          <w:i/>
          <w:lang w:val="es-ES"/>
        </w:rPr>
        <w:t>Profesor Titular de Derecho Administrativo</w:t>
      </w:r>
    </w:p>
    <w:p w14:paraId="7EEFDC53" w14:textId="59372EE3" w:rsidR="00BF31E0" w:rsidRDefault="00F96791" w:rsidP="00F96791">
      <w:pPr>
        <w:jc w:val="center"/>
        <w:rPr>
          <w:rFonts w:ascii="Arial" w:hAnsi="Arial"/>
          <w:i/>
          <w:lang w:val="es-ES"/>
        </w:rPr>
      </w:pPr>
      <w:r w:rsidRPr="00F96791">
        <w:rPr>
          <w:rFonts w:ascii="Arial" w:hAnsi="Arial"/>
          <w:i/>
          <w:lang w:val="es-ES"/>
        </w:rPr>
        <w:t>Universidad de La Rioja</w:t>
      </w:r>
      <w:r w:rsidRPr="000E45D7">
        <w:rPr>
          <w:rStyle w:val="Refdenotaalpie"/>
          <w:rFonts w:ascii="Arial" w:hAnsi="Arial" w:cs="Arial"/>
          <w:i/>
          <w:sz w:val="24"/>
          <w:szCs w:val="28"/>
          <w:lang w:val="es-ES"/>
        </w:rPr>
        <w:footnoteReference w:id="1"/>
      </w:r>
    </w:p>
    <w:p w14:paraId="350E8D56" w14:textId="77777777" w:rsidR="000E45D7" w:rsidRPr="00740B4F" w:rsidRDefault="000E45D7" w:rsidP="00F96791">
      <w:pPr>
        <w:jc w:val="center"/>
        <w:rPr>
          <w:rFonts w:ascii="Arial" w:hAnsi="Arial"/>
          <w:lang w:val="es-ES" w:eastAsia="es-ES"/>
        </w:rPr>
      </w:pPr>
    </w:p>
    <w:p w14:paraId="7B99F8B1" w14:textId="162DF974" w:rsidR="00F342E5" w:rsidRPr="00785BA0" w:rsidRDefault="00F342E5" w:rsidP="006127B4">
      <w:pPr>
        <w:pStyle w:val="Sumario"/>
        <w:rPr>
          <w:rFonts w:ascii="Arial" w:hAnsi="Arial"/>
          <w:lang w:val="es-ES"/>
        </w:rPr>
      </w:pPr>
      <w:r w:rsidRPr="00740B4F">
        <w:rPr>
          <w:rFonts w:ascii="Arial" w:hAnsi="Arial"/>
          <w:b/>
        </w:rPr>
        <w:t xml:space="preserve">Sumario: </w:t>
      </w:r>
      <w:r w:rsidRPr="00740B4F">
        <w:rPr>
          <w:rFonts w:ascii="Arial" w:hAnsi="Arial"/>
        </w:rPr>
        <w:t xml:space="preserve">1. </w:t>
      </w:r>
      <w:r w:rsidR="002D7147" w:rsidRPr="002D7147">
        <w:rPr>
          <w:rFonts w:ascii="Arial" w:hAnsi="Arial"/>
        </w:rPr>
        <w:t xml:space="preserve">Introducción. </w:t>
      </w:r>
      <w:r w:rsidR="002D7147">
        <w:rPr>
          <w:rFonts w:ascii="Arial" w:hAnsi="Arial"/>
        </w:rPr>
        <w:t>2</w:t>
      </w:r>
      <w:r w:rsidR="002D7147" w:rsidRPr="002D7147">
        <w:rPr>
          <w:rFonts w:ascii="Arial" w:hAnsi="Arial"/>
        </w:rPr>
        <w:t xml:space="preserve">. Caza. </w:t>
      </w:r>
      <w:r w:rsidR="002D7147">
        <w:rPr>
          <w:rFonts w:ascii="Arial" w:hAnsi="Arial"/>
        </w:rPr>
        <w:t>2.1</w:t>
      </w:r>
      <w:r w:rsidR="002D7147" w:rsidRPr="002D7147">
        <w:rPr>
          <w:rFonts w:ascii="Arial" w:hAnsi="Arial"/>
        </w:rPr>
        <w:t xml:space="preserve">. Sanciones. a) Consideraciones generales. b) Presunción de veracidad de las denuncias formuladas por agentes de la autoridad. </w:t>
      </w:r>
      <w:r w:rsidR="0022298C">
        <w:rPr>
          <w:rFonts w:ascii="Arial" w:hAnsi="Arial"/>
        </w:rPr>
        <w:t>2.</w:t>
      </w:r>
      <w:r w:rsidR="002D7147" w:rsidRPr="002D7147">
        <w:rPr>
          <w:rFonts w:ascii="Arial" w:hAnsi="Arial"/>
        </w:rPr>
        <w:t xml:space="preserve">2. Tasas cinegéticas. </w:t>
      </w:r>
      <w:r w:rsidR="0022298C">
        <w:rPr>
          <w:rFonts w:ascii="Arial" w:hAnsi="Arial"/>
        </w:rPr>
        <w:t>3</w:t>
      </w:r>
      <w:r w:rsidR="002D7147" w:rsidRPr="002D7147">
        <w:rPr>
          <w:rFonts w:ascii="Arial" w:hAnsi="Arial"/>
        </w:rPr>
        <w:t xml:space="preserve">. Montes. </w:t>
      </w:r>
      <w:r w:rsidR="0022298C">
        <w:rPr>
          <w:rFonts w:ascii="Arial" w:hAnsi="Arial"/>
        </w:rPr>
        <w:t>3.</w:t>
      </w:r>
      <w:r w:rsidR="002D7147" w:rsidRPr="002D7147">
        <w:rPr>
          <w:rFonts w:ascii="Arial" w:hAnsi="Arial"/>
        </w:rPr>
        <w:t xml:space="preserve">1. Aprovechamientos cinegéticos en montes de utilidad pública. </w:t>
      </w:r>
      <w:r w:rsidR="0022298C">
        <w:rPr>
          <w:rFonts w:ascii="Arial" w:hAnsi="Arial"/>
        </w:rPr>
        <w:t>3.</w:t>
      </w:r>
      <w:r w:rsidR="002D7147" w:rsidRPr="002D7147">
        <w:rPr>
          <w:rFonts w:ascii="Arial" w:hAnsi="Arial"/>
        </w:rPr>
        <w:t xml:space="preserve">2. Pistas forestales. a) Acceso motorizado para aprovechamientos micológicos. b) Ordenanza municipal de caminos. </w:t>
      </w:r>
      <w:r w:rsidR="0022298C">
        <w:rPr>
          <w:rFonts w:ascii="Arial" w:hAnsi="Arial"/>
        </w:rPr>
        <w:t>4</w:t>
      </w:r>
      <w:r w:rsidR="002D7147" w:rsidRPr="002D7147">
        <w:rPr>
          <w:rFonts w:ascii="Arial" w:hAnsi="Arial"/>
        </w:rPr>
        <w:t xml:space="preserve">. Residuos. </w:t>
      </w:r>
      <w:r w:rsidR="0022298C">
        <w:rPr>
          <w:rFonts w:ascii="Arial" w:hAnsi="Arial"/>
        </w:rPr>
        <w:t>4.</w:t>
      </w:r>
      <w:r w:rsidR="002D7147" w:rsidRPr="002D7147">
        <w:rPr>
          <w:rFonts w:ascii="Arial" w:hAnsi="Arial"/>
        </w:rPr>
        <w:t xml:space="preserve">1. Evaluación de impacto ambiental simplificada. a) Antecedentes. b) Sobre la prórroga del Informe de Impacto Ambiental. c) Sobre la pérdida de vigencia del Informe de Impacto Ambiental. d) Observación final. </w:t>
      </w:r>
      <w:r w:rsidR="0022298C">
        <w:rPr>
          <w:rFonts w:ascii="Arial" w:hAnsi="Arial"/>
        </w:rPr>
        <w:t>4.</w:t>
      </w:r>
      <w:r w:rsidR="002D7147" w:rsidRPr="002D7147">
        <w:rPr>
          <w:rFonts w:ascii="Arial" w:hAnsi="Arial"/>
        </w:rPr>
        <w:t xml:space="preserve">2. Sanciones. </w:t>
      </w:r>
      <w:r w:rsidR="0022298C">
        <w:rPr>
          <w:rFonts w:ascii="Arial" w:hAnsi="Arial"/>
        </w:rPr>
        <w:t>5</w:t>
      </w:r>
      <w:r w:rsidR="002D7147" w:rsidRPr="002D7147">
        <w:rPr>
          <w:rFonts w:ascii="Arial" w:hAnsi="Arial"/>
        </w:rPr>
        <w:t xml:space="preserve">. Agricultura. </w:t>
      </w:r>
      <w:r w:rsidR="0022298C">
        <w:rPr>
          <w:rFonts w:ascii="Arial" w:hAnsi="Arial"/>
        </w:rPr>
        <w:t>5.</w:t>
      </w:r>
      <w:r w:rsidR="002D7147" w:rsidRPr="002D7147">
        <w:rPr>
          <w:rFonts w:ascii="Arial" w:hAnsi="Arial"/>
        </w:rPr>
        <w:t xml:space="preserve">1. Producción agraria ecológica. </w:t>
      </w:r>
      <w:r w:rsidR="0022298C">
        <w:rPr>
          <w:rFonts w:ascii="Arial" w:hAnsi="Arial"/>
        </w:rPr>
        <w:t>5.</w:t>
      </w:r>
      <w:r w:rsidR="002D7147" w:rsidRPr="002D7147">
        <w:rPr>
          <w:rFonts w:ascii="Arial" w:hAnsi="Arial"/>
        </w:rPr>
        <w:t xml:space="preserve">2. Política Agraria Común: pago verde. </w:t>
      </w:r>
      <w:r w:rsidR="0022298C">
        <w:rPr>
          <w:rFonts w:ascii="Arial" w:hAnsi="Arial"/>
        </w:rPr>
        <w:t>6</w:t>
      </w:r>
      <w:r w:rsidR="002D7147" w:rsidRPr="002D7147">
        <w:rPr>
          <w:rFonts w:ascii="Arial" w:hAnsi="Arial"/>
        </w:rPr>
        <w:t xml:space="preserve">. Tributación ambiental. </w:t>
      </w:r>
      <w:r w:rsidR="0022298C">
        <w:rPr>
          <w:rFonts w:ascii="Arial" w:hAnsi="Arial"/>
        </w:rPr>
        <w:t>6.</w:t>
      </w:r>
      <w:r w:rsidR="002D7147" w:rsidRPr="002D7147">
        <w:rPr>
          <w:rFonts w:ascii="Arial" w:hAnsi="Arial"/>
        </w:rPr>
        <w:t xml:space="preserve">1. Impuesto estatal sobre el valor de la producción de la energía eléctrica. </w:t>
      </w:r>
      <w:r w:rsidR="0022298C">
        <w:rPr>
          <w:rFonts w:ascii="Arial" w:hAnsi="Arial"/>
        </w:rPr>
        <w:t>6.</w:t>
      </w:r>
      <w:r w:rsidR="002D7147" w:rsidRPr="002D7147">
        <w:rPr>
          <w:rFonts w:ascii="Arial" w:hAnsi="Arial"/>
        </w:rPr>
        <w:t>2. Tasa por utilización privativa o aprovechamiento especial del dominio público local de las instalaciones de transporte de energía eléctrica, gas, agua e hidrocarburos.</w:t>
      </w:r>
    </w:p>
    <w:p w14:paraId="2049D5F0" w14:textId="77777777" w:rsidR="000620B9" w:rsidRPr="00785BA0" w:rsidRDefault="000620B9" w:rsidP="000620B9">
      <w:pPr>
        <w:rPr>
          <w:rFonts w:ascii="Arial" w:hAnsi="Arial"/>
          <w:lang w:val="es-ES"/>
        </w:rPr>
      </w:pPr>
    </w:p>
    <w:p w14:paraId="48D600B0" w14:textId="73F0B5CA" w:rsidR="00CB043D" w:rsidRPr="00785BA0" w:rsidRDefault="00CB043D" w:rsidP="006127B4">
      <w:pPr>
        <w:pStyle w:val="Ttulo1"/>
        <w:rPr>
          <w:rFonts w:ascii="Arial" w:hAnsi="Arial"/>
          <w:lang w:val="es-ES"/>
        </w:rPr>
      </w:pPr>
      <w:r w:rsidRPr="00785BA0">
        <w:rPr>
          <w:rFonts w:ascii="Arial" w:hAnsi="Arial"/>
          <w:lang w:val="es-ES"/>
        </w:rPr>
        <w:t xml:space="preserve">1. </w:t>
      </w:r>
      <w:r w:rsidR="00BC14E3">
        <w:rPr>
          <w:rFonts w:ascii="Arial" w:hAnsi="Arial"/>
          <w:lang w:val="es-ES"/>
        </w:rPr>
        <w:t>INTRODUCCIÓN</w:t>
      </w:r>
    </w:p>
    <w:p w14:paraId="7DED6911" w14:textId="41546B2F" w:rsidR="00372E91" w:rsidRPr="009F742D" w:rsidRDefault="00EE6B6F" w:rsidP="009F742D">
      <w:pPr>
        <w:rPr>
          <w:rFonts w:ascii="Arial" w:hAnsi="Arial"/>
          <w:lang w:val="fr-FR"/>
        </w:rPr>
      </w:pPr>
      <w:r w:rsidRPr="00EE6B6F">
        <w:rPr>
          <w:rFonts w:ascii="Arial" w:hAnsi="Arial"/>
          <w:lang w:val="es-ES"/>
        </w:rPr>
        <w:t xml:space="preserve">En el año que transcurre desde julio de 2021 hasta julio de 2022, la Sala de lo Contencioso del Tribunal Superior de Justicia de La Rioja ha dictado las sentencias que, por su mayor interés ambiental, se reseñan a continuación. Su comentario se va a ordenar empezando por los pronunciamientos recaídos en materia de caza que, una vez más, sigue siendo el bloque más numeroso (infra 2). A continuación, se han seleccionado tres sentencias dictadas en aplicación de la legislación de montes con especial atención a las que versan sobre pistas forestales (infra 3). Pero, sin duda, la que reviste mayor relevancia, por su proyección transversal, es la que suscita espinosas cuestiones relativas a una instalación de gestión de residuos sometida a evaluación de impacto ambiental simplificada (infra 4). En cuanto al resto, se consignan dos resoluciones sobre producción agraria ecológica y sobre el pago verde de la Política Agraria Común (PAC; infra 5), para acabar con otras dos que vuelven sobre temas </w:t>
      </w:r>
      <w:r w:rsidRPr="00EE6B6F">
        <w:rPr>
          <w:rFonts w:ascii="Arial" w:hAnsi="Arial"/>
          <w:lang w:val="es-ES"/>
        </w:rPr>
        <w:lastRenderedPageBreak/>
        <w:t>recurrentes en materia que, siquiera en un sentido muy amplio, puede considerarse de fiscalidad ambiental (infra 6).</w:t>
      </w:r>
    </w:p>
    <w:p w14:paraId="43E0E59B" w14:textId="62A2B737" w:rsidR="00BC14E3" w:rsidRPr="00BC14E3" w:rsidRDefault="00BC14E3" w:rsidP="009F742D">
      <w:pPr>
        <w:pStyle w:val="Ttulo1"/>
        <w:spacing w:before="0"/>
        <w:rPr>
          <w:rFonts w:ascii="Arial" w:hAnsi="Arial"/>
          <w:lang w:val="pt-PT"/>
        </w:rPr>
      </w:pPr>
      <w:r>
        <w:rPr>
          <w:rFonts w:ascii="Arial" w:hAnsi="Arial"/>
          <w:lang w:val="pt-PT"/>
        </w:rPr>
        <w:t>2</w:t>
      </w:r>
      <w:r w:rsidRPr="00BC14E3">
        <w:rPr>
          <w:rFonts w:ascii="Arial" w:hAnsi="Arial"/>
          <w:lang w:val="pt-PT"/>
        </w:rPr>
        <w:t xml:space="preserve">. </w:t>
      </w:r>
      <w:r>
        <w:rPr>
          <w:rFonts w:ascii="Arial" w:hAnsi="Arial"/>
          <w:lang w:val="pt-PT"/>
        </w:rPr>
        <w:t>CAZA</w:t>
      </w:r>
    </w:p>
    <w:p w14:paraId="4EBF919D" w14:textId="728D8EB4" w:rsidR="00F44D79" w:rsidRDefault="00F44D79" w:rsidP="00F44D79">
      <w:pPr>
        <w:pStyle w:val="Ttulo2"/>
      </w:pPr>
      <w:r>
        <w:t>2</w:t>
      </w:r>
      <w:r w:rsidRPr="00740B4F">
        <w:t xml:space="preserve">.1. </w:t>
      </w:r>
      <w:r w:rsidRPr="002D7147">
        <w:t>Sanciones</w:t>
      </w:r>
    </w:p>
    <w:p w14:paraId="2D2C1E3E" w14:textId="77777777" w:rsidR="00F44D79" w:rsidRPr="00B53D0A" w:rsidRDefault="00F44D79" w:rsidP="00BC14E3">
      <w:pPr>
        <w:rPr>
          <w:rFonts w:ascii="Arial" w:hAnsi="Arial"/>
          <w:lang w:val="es-ES"/>
        </w:rPr>
      </w:pPr>
      <w:r w:rsidRPr="00B53D0A">
        <w:rPr>
          <w:rFonts w:ascii="Arial" w:hAnsi="Arial"/>
          <w:lang w:val="es-ES"/>
        </w:rPr>
        <w:t>a) Consideraciones generales</w:t>
      </w:r>
    </w:p>
    <w:p w14:paraId="56F99586" w14:textId="63F502D6" w:rsidR="00B93119" w:rsidRPr="00B93119" w:rsidRDefault="00B53D0A" w:rsidP="00B93119">
      <w:pPr>
        <w:rPr>
          <w:rFonts w:ascii="Arial" w:hAnsi="Arial" w:cs="Arial"/>
          <w:szCs w:val="24"/>
          <w:lang w:val="es-ES"/>
        </w:rPr>
      </w:pPr>
      <w:r w:rsidRPr="00B53D0A">
        <w:rPr>
          <w:rFonts w:ascii="Arial" w:hAnsi="Arial" w:cs="Arial"/>
          <w:szCs w:val="24"/>
          <w:lang w:val="es-ES"/>
        </w:rPr>
        <w:t>En el periodo aquí considerado se han registrado cuatro nuevos pronunciamientos sobre sanciones impuestas por la Consejería competente en aplicación de la Ley 9/1998, de 2 de julio, de caza de La Rioja. No está de más recordar que esa regulación acaba de ser derogada y sustituida por la reciente</w:t>
      </w:r>
      <w:r w:rsidRPr="00B53D0A">
        <w:rPr>
          <w:szCs w:val="24"/>
          <w:lang w:val="es-ES"/>
        </w:rPr>
        <w:t xml:space="preserve"> </w:t>
      </w:r>
      <w:r w:rsidR="00B93119" w:rsidRPr="00B93119">
        <w:rPr>
          <w:rFonts w:ascii="Arial" w:hAnsi="Arial" w:cs="Arial"/>
          <w:szCs w:val="24"/>
          <w:lang w:val="es-ES"/>
        </w:rPr>
        <w:t>Ley 8/2022, de 24 de junio, de caza y gestión cinegética de La Rioja. Entre las muchas novedades que la reforma incorpora (y de las que oportunamente se da cuenta en este mismo número de la Revista</w:t>
      </w:r>
      <w:r w:rsidR="00121657" w:rsidRPr="00D66E2E">
        <w:rPr>
          <w:rStyle w:val="Refdenotaalpie"/>
          <w:rFonts w:ascii="Arial" w:hAnsi="Arial" w:cs="Arial"/>
          <w:sz w:val="24"/>
          <w:szCs w:val="32"/>
          <w:lang w:val="es-ES"/>
        </w:rPr>
        <w:footnoteReference w:id="2"/>
      </w:r>
      <w:r w:rsidR="00B93119" w:rsidRPr="00B93119">
        <w:rPr>
          <w:rFonts w:ascii="Arial" w:hAnsi="Arial" w:cs="Arial"/>
          <w:szCs w:val="24"/>
          <w:lang w:val="es-ES"/>
        </w:rPr>
        <w:t>), su preámbulo destaca que “se ha mejorado la redacción de algunos tipos infractores para facilitar la comprensión y la aplicación del núcleo de prohibición”. También se han actualizado las sanciones para adecuarse a la realidad social.</w:t>
      </w:r>
    </w:p>
    <w:p w14:paraId="4EA9770A" w14:textId="77777777" w:rsidR="00B93119" w:rsidRDefault="00B93119" w:rsidP="00B93119">
      <w:pPr>
        <w:rPr>
          <w:szCs w:val="24"/>
          <w:lang w:val="es-ES"/>
        </w:rPr>
      </w:pPr>
      <w:r w:rsidRPr="00B93119">
        <w:rPr>
          <w:rFonts w:ascii="Arial" w:hAnsi="Arial" w:cs="Arial"/>
          <w:szCs w:val="24"/>
          <w:lang w:val="es-ES"/>
        </w:rPr>
        <w:t xml:space="preserve">Quien venga siguiendo estas crónicas jurisprudenciales habrá notado que en ellas nunca falta el consabido espacio dedicado a las sanciones en materia de caza. En principio, esta abundancia de conflictos podría explicarse, tal vez, por la importancia de esta actividad en un territorio que, pese a su reducida superficie, ofrece valiosos recursos cinegéticos. Pero, probablemente, también influye el celo con el que los órganos competentes –y, en particular, los agentes forestales– ejercen las potestades de vigilancia que tienen atribuidas, así como el nivel de especialización alcanzado en la instrucción de este tipo de expedientes. De hecho, y conforme a la tónica habitual, en esta ocasión los recursos resultan desestimados si bien en un caso la validez de las sanciones impuestas se confirma sólo parcialmente por la Sala que, por su parte, también muestra seguridad y soltura en este campo normativo. Celo inspector, especialización burocrática y soltura judicial, podría decirse, sin parangón en otros sectores del Derecho ambiental. Por cierto, da la impresión de que la litigiosidad no cede pese a que la desestimación de los recursos en estos </w:t>
      </w:r>
      <w:r w:rsidRPr="00B93119">
        <w:rPr>
          <w:rFonts w:ascii="Arial" w:hAnsi="Arial" w:cs="Arial"/>
          <w:szCs w:val="24"/>
          <w:lang w:val="es-ES"/>
        </w:rPr>
        <w:lastRenderedPageBreak/>
        <w:t>procesos conlleva invariablemente expresa condena en costas a la parte demandante “hasta el límite de 1.000 euros”.</w:t>
      </w:r>
    </w:p>
    <w:p w14:paraId="31F17454" w14:textId="6E5301A7" w:rsidR="00BE3BE8" w:rsidRDefault="00BE3BE8" w:rsidP="00B93119">
      <w:pPr>
        <w:rPr>
          <w:rFonts w:ascii="Arial" w:hAnsi="Arial" w:cs="Arial"/>
          <w:szCs w:val="24"/>
          <w:lang w:val="es-ES"/>
        </w:rPr>
      </w:pPr>
      <w:r w:rsidRPr="00BE3BE8">
        <w:rPr>
          <w:rFonts w:ascii="Arial" w:hAnsi="Arial"/>
          <w:lang w:val="es-ES"/>
        </w:rPr>
        <w:t>Todavía desde un punto de vista general, cabe añadir que este conjunto de sentencias que se ha ido acumulando durante años ofrece un rico casuismo de circunstancias de hecho que contrasta, sin embargo, con el parco interés jurídico de los debates que en esos pleitos se entablan. Si acaso, en sus últimas resoluciones la Sala no ha desaprovechado la oportunidad de recordar su conocida tesis conforme a la cual “la acción de cazar”, descrita en el artículo 2 de la Ley 9/1998, “no incluye solo la acción de disparar al animal, incluye también las acciones necesarias para lograr el resultado pretendido”. Por tanto,</w:t>
      </w:r>
      <w:r>
        <w:rPr>
          <w:rFonts w:ascii="Arial" w:hAnsi="Arial"/>
          <w:lang w:val="es-ES"/>
        </w:rPr>
        <w:t xml:space="preserve"> </w:t>
      </w:r>
      <w:r w:rsidR="00AB0ECF" w:rsidRPr="00AB0ECF">
        <w:rPr>
          <w:rFonts w:ascii="Arial" w:hAnsi="Arial" w:cs="Arial"/>
          <w:szCs w:val="24"/>
          <w:lang w:val="es-ES"/>
        </w:rPr>
        <w:t xml:space="preserve">“no se requiere que el inculpado porte arma”; basta con transportar “medios de caza listos para uso” –englobando entre esos “medios”, por ejemplo, el manejo de animales como perros o hurones– y todo ello incluso “aun cuando no se haya cobrado pieza alguna”. Lo demás suele girar invariablemente en torno a cuestiones de prueba y, más precisamente, a la presunción de veracidad de las denuncias formuladas por agentes de la autoridad que, obviamente, no es una presunción </w:t>
      </w:r>
      <w:r w:rsidR="00AB0ECF" w:rsidRPr="00AB0ECF">
        <w:rPr>
          <w:rFonts w:ascii="Arial" w:hAnsi="Arial" w:cs="Arial"/>
          <w:i/>
          <w:iCs/>
          <w:szCs w:val="24"/>
          <w:lang w:val="es-ES"/>
        </w:rPr>
        <w:t xml:space="preserve">iuris et de iure </w:t>
      </w:r>
      <w:r w:rsidR="00AB0ECF" w:rsidRPr="00AB0ECF">
        <w:rPr>
          <w:rFonts w:ascii="Arial" w:hAnsi="Arial" w:cs="Arial"/>
          <w:szCs w:val="24"/>
          <w:lang w:val="es-ES"/>
        </w:rPr>
        <w:t xml:space="preserve">sino </w:t>
      </w:r>
      <w:r w:rsidR="00AB0ECF" w:rsidRPr="00AB0ECF">
        <w:rPr>
          <w:rFonts w:ascii="Arial" w:hAnsi="Arial" w:cs="Arial"/>
          <w:i/>
          <w:iCs/>
          <w:szCs w:val="24"/>
          <w:lang w:val="es-ES"/>
        </w:rPr>
        <w:t>iuris tantum</w:t>
      </w:r>
      <w:r w:rsidR="00AB0ECF" w:rsidRPr="00AB0ECF">
        <w:rPr>
          <w:rFonts w:ascii="Arial" w:hAnsi="Arial" w:cs="Arial"/>
          <w:szCs w:val="24"/>
          <w:lang w:val="es-ES"/>
        </w:rPr>
        <w:t>; es decir, que puede desvirtuarse mediante mejor prueba en contrario.</w:t>
      </w:r>
    </w:p>
    <w:p w14:paraId="0173587C" w14:textId="1C351B88" w:rsidR="00AB0ECF" w:rsidRPr="00AB0ECF" w:rsidRDefault="00AB0ECF" w:rsidP="00B93119">
      <w:pPr>
        <w:rPr>
          <w:rFonts w:ascii="Arial" w:hAnsi="Arial"/>
          <w:lang w:val="es-ES"/>
        </w:rPr>
      </w:pPr>
      <w:r w:rsidRPr="00AB0ECF">
        <w:rPr>
          <w:rFonts w:ascii="Arial" w:hAnsi="Arial"/>
          <w:lang w:val="es-ES"/>
        </w:rPr>
        <w:t>b) Presunción de veracidad de las denuncias formuladas por agentes de la autoridad</w:t>
      </w:r>
    </w:p>
    <w:p w14:paraId="641B82A7" w14:textId="77777777" w:rsidR="007261C1" w:rsidRPr="007261C1" w:rsidRDefault="007261C1" w:rsidP="007261C1">
      <w:pPr>
        <w:rPr>
          <w:rFonts w:ascii="Arial" w:hAnsi="Arial"/>
          <w:lang w:val="es-ES"/>
        </w:rPr>
      </w:pPr>
      <w:r w:rsidRPr="007261C1">
        <w:rPr>
          <w:rFonts w:ascii="Arial" w:hAnsi="Arial"/>
          <w:lang w:val="es-ES"/>
        </w:rPr>
        <w:t xml:space="preserve">Así ocurre, para empezar, en la Sentencia del Tribunal Superior de Justicia de La Rioja de 20 de septiembre de 2021 (ponente Crespo </w:t>
      </w:r>
      <w:proofErr w:type="spellStart"/>
      <w:r w:rsidRPr="007261C1">
        <w:rPr>
          <w:rFonts w:ascii="Arial" w:hAnsi="Arial"/>
          <w:lang w:val="es-ES"/>
        </w:rPr>
        <w:t>Herce</w:t>
      </w:r>
      <w:proofErr w:type="spellEnd"/>
      <w:r w:rsidRPr="007261C1">
        <w:rPr>
          <w:rFonts w:ascii="Arial" w:hAnsi="Arial"/>
          <w:lang w:val="es-ES"/>
        </w:rPr>
        <w:t xml:space="preserve">), que estima parcialmente el recurso interpuesto por el guarda director de una cacería. La Administración había apreciado la comisión de una infracción grave, prevista en el artículo 82.19 de la Ley 9/1998 (en su modalidad de cazar incumpliendo los requisitos establecidos en la autorización). E impuso una multa de 1.500 euros y sanción accesoria de pérdida de la licencia de caza en vigor e inhabilitación para obtenerla por un periodo de 1 año. La Sala revoca la resolución impugnada tanto en lo que respecta a la cuantía de la multa (que deja en 500 euros) como en lo que atañe a la duración de la sanción accesoria (que queda en 10 meses). Al margen de motivos formales, que también se alegaron sin éxito, la controversia gira en torno a cuestiones de hecho relativas al cumplimiento de los requisitos impuestos en la autorización otorgada para </w:t>
      </w:r>
      <w:r w:rsidRPr="007261C1">
        <w:rPr>
          <w:rFonts w:ascii="Arial" w:hAnsi="Arial"/>
          <w:lang w:val="es-ES"/>
        </w:rPr>
        <w:lastRenderedPageBreak/>
        <w:t>una batida de jabalí. La denuncia del agente forestal aseveraba –bien que, al parecer, de forma “ciertamente vaga y sin concreción ni acreditación”– que el presunto responsable incumplió su obligación de estar presente en la montería.</w:t>
      </w:r>
    </w:p>
    <w:p w14:paraId="19A7E49C" w14:textId="04B1EAC0" w:rsidR="007261C1" w:rsidRDefault="007261C1" w:rsidP="007261C1">
      <w:pPr>
        <w:rPr>
          <w:rFonts w:ascii="Arial" w:hAnsi="Arial"/>
          <w:lang w:val="es-ES"/>
        </w:rPr>
      </w:pPr>
      <w:r w:rsidRPr="007261C1">
        <w:rPr>
          <w:rFonts w:ascii="Arial" w:hAnsi="Arial"/>
          <w:lang w:val="es-ES"/>
        </w:rPr>
        <w:t>La Sala enfoca el asunto desde el punto de vista del derecho a la presunción de inocencia en relación con la presunción de veracidad de las actas emitidas por agentes de la autoridad. Rescata la vieja STC 341/1993, de 18 de noviembre, relativa al artículo 37 de la LOPSC, e indica que sus consideraciones son aplicables al artículo 95 de la Ley riojana 9/1998. Y así concluye que la denuncia del agente forestal, “aunque éste haya ratificado la</w:t>
      </w:r>
      <w:r w:rsidR="000A0930">
        <w:rPr>
          <w:rFonts w:ascii="Arial" w:hAnsi="Arial"/>
          <w:lang w:val="es-ES"/>
        </w:rPr>
        <w:t xml:space="preserve"> </w:t>
      </w:r>
      <w:r w:rsidR="000A0930" w:rsidRPr="000A0930">
        <w:rPr>
          <w:rFonts w:ascii="Arial" w:hAnsi="Arial"/>
          <w:lang w:val="es-ES"/>
        </w:rPr>
        <w:t>misma, no puede considerarse prueba suficiente sobre la comisión de todos los hechos denunciados, pues se ha aportado por el recurrente la declaración jurada de tres testigos”; testifical con la que “se desmiente la afirmación acerca de la ausencia del denunciado durante la cacería”. Por otra parte, la denuncia imputaba también al demandante el incumplimiento de su obligación de vigilar la colocación de posturas en la batida. Sobre este particular, la Sala sí considera acreditado que durante la batida efectivamente se colocaron posturas que estaban fuera de la línea autorizada y por eso mantiene la sanción, aunque la reduce</w:t>
      </w:r>
      <w:r w:rsidR="000A0930">
        <w:rPr>
          <w:rFonts w:ascii="Arial" w:hAnsi="Arial"/>
          <w:lang w:val="es-ES"/>
        </w:rPr>
        <w:t>.</w:t>
      </w:r>
    </w:p>
    <w:p w14:paraId="38876D5D" w14:textId="171D1913" w:rsidR="000A0930" w:rsidRDefault="00A87B21" w:rsidP="007261C1">
      <w:pPr>
        <w:rPr>
          <w:rFonts w:ascii="Arial" w:hAnsi="Arial"/>
          <w:lang w:val="es-ES"/>
        </w:rPr>
      </w:pPr>
      <w:r w:rsidRPr="00A87B21">
        <w:rPr>
          <w:rFonts w:ascii="Arial" w:hAnsi="Arial"/>
          <w:lang w:val="es-ES"/>
        </w:rPr>
        <w:t>El mismo problema de valoración de pruebas se plantea en la Sentencia del Tribunal Superior de Justicia de La Rioja de 29 de octubre de 2021 (ponente Matute Lozano), que desestima recurso contra sanciones (multa de 602 euros y pérdida de la licencia de caza e inhabilitación para obtenerla en un año) impuestas a una persona que manejaba hurones durante una cacería de conejo. Pero aquí la Sala no admite que la presunción de veracidad de la denuncia del agente forestal quede desvirtuada por la prueba testifical practicada.</w:t>
      </w:r>
    </w:p>
    <w:p w14:paraId="5257A293" w14:textId="3DAEA0C5" w:rsidR="00A87B21" w:rsidRDefault="00A87B21" w:rsidP="007261C1">
      <w:pPr>
        <w:rPr>
          <w:rFonts w:ascii="Arial" w:hAnsi="Arial"/>
          <w:lang w:val="es-ES"/>
        </w:rPr>
      </w:pPr>
      <w:r w:rsidRPr="00A87B21">
        <w:rPr>
          <w:rFonts w:ascii="Arial" w:hAnsi="Arial"/>
          <w:lang w:val="es-ES"/>
        </w:rPr>
        <w:t xml:space="preserve">La cuestión también aflora en la Sentencia del Tribunal Superior de Justicia de La Rioja de 2 de febrero de 2022 (ponente Escanilla Pallás), que desestima el recurso contra multa de 602 euros y la pérdida e inhabilitación para obtener licencia de caza durante un periodo de doce meses, por la comisión de dos infracciones en materia de caza. Pero el verdadero interés de esta resolución radica en su aportación relativa al principio </w:t>
      </w:r>
      <w:r w:rsidRPr="00A87B21">
        <w:rPr>
          <w:rFonts w:ascii="Arial" w:hAnsi="Arial"/>
          <w:i/>
          <w:iCs/>
          <w:lang w:val="es-ES"/>
        </w:rPr>
        <w:t xml:space="preserve">non bis in </w:t>
      </w:r>
      <w:proofErr w:type="spellStart"/>
      <w:r w:rsidRPr="00A87B21">
        <w:rPr>
          <w:rFonts w:ascii="Arial" w:hAnsi="Arial"/>
          <w:i/>
          <w:iCs/>
          <w:lang w:val="es-ES"/>
        </w:rPr>
        <w:t>idem</w:t>
      </w:r>
      <w:proofErr w:type="spellEnd"/>
      <w:r w:rsidRPr="00A87B21">
        <w:rPr>
          <w:rFonts w:ascii="Arial" w:hAnsi="Arial"/>
          <w:lang w:val="es-ES"/>
        </w:rPr>
        <w:t xml:space="preserve"> ya que, razona, “estar cazando en época de veda” y hacerlo “careciendo de autorización” no </w:t>
      </w:r>
      <w:r w:rsidRPr="00A87B21">
        <w:rPr>
          <w:rFonts w:ascii="Arial" w:hAnsi="Arial"/>
          <w:lang w:val="es-ES"/>
        </w:rPr>
        <w:lastRenderedPageBreak/>
        <w:t>constituye concurso ideal por lo que es correcto sancionarlas por separado. Y ello en aplicación del artículo 77 del Código Penal.</w:t>
      </w:r>
    </w:p>
    <w:p w14:paraId="09EBBDD8" w14:textId="6E21F0BC" w:rsidR="00BC14E3" w:rsidRPr="00740B4F" w:rsidRDefault="001D7FB9" w:rsidP="00BC14E3">
      <w:pPr>
        <w:rPr>
          <w:rFonts w:ascii="Arial" w:hAnsi="Arial"/>
          <w:lang w:val="es-ES"/>
        </w:rPr>
      </w:pPr>
      <w:r w:rsidRPr="001D7FB9">
        <w:rPr>
          <w:rFonts w:ascii="Arial" w:hAnsi="Arial"/>
          <w:lang w:val="es-ES"/>
        </w:rPr>
        <w:t>En fin, dado que “los testigos participaron en la cacería y queda comprometida su imparcialidad”, la presunción de veracidad de la denuncia prevalece también en la Sentencia del Tribunal Superior de Justicia de La Rioja de 10 de marzo de 2022 (ponente Matute Lozano) que desestima el recurso contencioso administrativo contra sanción de multa de 802 euros y la inhabilitación para obtener licencia de caza durante un año.</w:t>
      </w:r>
    </w:p>
    <w:p w14:paraId="3B705707" w14:textId="3B685660" w:rsidR="00BC14E3" w:rsidRPr="007D620D" w:rsidRDefault="00BC14E3" w:rsidP="00BC14E3">
      <w:pPr>
        <w:pStyle w:val="Ttulo2"/>
        <w:rPr>
          <w:lang w:val="es-ES"/>
        </w:rPr>
      </w:pPr>
      <w:r w:rsidRPr="007D620D">
        <w:rPr>
          <w:lang w:val="es-ES"/>
        </w:rPr>
        <w:t>2.</w:t>
      </w:r>
      <w:r w:rsidRPr="007D620D">
        <w:rPr>
          <w:lang w:val="es-ES"/>
        </w:rPr>
        <w:t>2</w:t>
      </w:r>
      <w:r w:rsidRPr="007D620D">
        <w:rPr>
          <w:lang w:val="es-ES"/>
        </w:rPr>
        <w:t>. Tasas cinegéticas</w:t>
      </w:r>
    </w:p>
    <w:sdt>
      <w:sdtPr>
        <w:rPr>
          <w:rFonts w:ascii="Arial" w:hAnsi="Arial"/>
          <w:lang w:val="fr-FR"/>
        </w:rPr>
        <w:id w:val="-271708284"/>
        <w:placeholder>
          <w:docPart w:val="95B8690E6FCE456FA5DDAAA276D61FA5"/>
        </w:placeholder>
      </w:sdtPr>
      <w:sdtContent>
        <w:p w14:paraId="0963265B" w14:textId="77777777" w:rsidR="001116AA" w:rsidRPr="001116AA" w:rsidRDefault="001116AA" w:rsidP="001116AA">
          <w:pPr>
            <w:rPr>
              <w:rFonts w:ascii="Arial" w:hAnsi="Arial"/>
              <w:lang w:val="fr-FR"/>
            </w:rPr>
          </w:pPr>
          <w:r w:rsidRPr="001116AA">
            <w:rPr>
              <w:rFonts w:ascii="Arial" w:hAnsi="Arial"/>
              <w:lang w:val="fr-FR"/>
            </w:rPr>
            <w:t xml:space="preserve">Para </w:t>
          </w:r>
          <w:proofErr w:type="spellStart"/>
          <w:r w:rsidRPr="001116AA">
            <w:rPr>
              <w:rFonts w:ascii="Arial" w:hAnsi="Arial"/>
              <w:lang w:val="fr-FR"/>
            </w:rPr>
            <w:t>cerrar</w:t>
          </w:r>
          <w:proofErr w:type="spellEnd"/>
          <w:r w:rsidRPr="001116AA">
            <w:rPr>
              <w:rFonts w:ascii="Arial" w:hAnsi="Arial"/>
              <w:lang w:val="fr-FR"/>
            </w:rPr>
            <w:t xml:space="preserve"> este bloque, resta </w:t>
          </w:r>
          <w:proofErr w:type="spellStart"/>
          <w:r w:rsidRPr="001116AA">
            <w:rPr>
              <w:rFonts w:ascii="Arial" w:hAnsi="Arial"/>
              <w:lang w:val="fr-FR"/>
            </w:rPr>
            <w:t>considerar</w:t>
          </w:r>
          <w:proofErr w:type="spellEnd"/>
          <w:r w:rsidRPr="001116AA">
            <w:rPr>
              <w:rFonts w:ascii="Arial" w:hAnsi="Arial"/>
              <w:lang w:val="fr-FR"/>
            </w:rPr>
            <w:t xml:space="preserve"> un quinto pronunciamiento que se </w:t>
          </w:r>
          <w:proofErr w:type="spellStart"/>
          <w:r w:rsidRPr="001116AA">
            <w:rPr>
              <w:rFonts w:ascii="Arial" w:hAnsi="Arial"/>
              <w:lang w:val="fr-FR"/>
            </w:rPr>
            <w:t>funda</w:t>
          </w:r>
          <w:proofErr w:type="spellEnd"/>
          <w:r w:rsidRPr="001116AA">
            <w:rPr>
              <w:rFonts w:ascii="Arial" w:hAnsi="Arial"/>
              <w:lang w:val="fr-FR"/>
            </w:rPr>
            <w:t xml:space="preserve"> en la </w:t>
          </w:r>
          <w:proofErr w:type="spellStart"/>
          <w:r w:rsidRPr="001116AA">
            <w:rPr>
              <w:rFonts w:ascii="Arial" w:hAnsi="Arial"/>
              <w:lang w:val="fr-FR"/>
            </w:rPr>
            <w:t>eficacia</w:t>
          </w:r>
          <w:proofErr w:type="spellEnd"/>
          <w:r w:rsidRPr="001116AA">
            <w:rPr>
              <w:rFonts w:ascii="Arial" w:hAnsi="Arial"/>
              <w:lang w:val="fr-FR"/>
            </w:rPr>
            <w:t xml:space="preserve"> de la </w:t>
          </w:r>
          <w:proofErr w:type="spellStart"/>
          <w:r w:rsidRPr="001116AA">
            <w:rPr>
              <w:rFonts w:ascii="Arial" w:hAnsi="Arial"/>
              <w:lang w:val="fr-FR"/>
            </w:rPr>
            <w:t>presunción</w:t>
          </w:r>
          <w:proofErr w:type="spellEnd"/>
          <w:r w:rsidRPr="001116AA">
            <w:rPr>
              <w:rFonts w:ascii="Arial" w:hAnsi="Arial"/>
              <w:lang w:val="fr-FR"/>
            </w:rPr>
            <w:t xml:space="preserve"> de </w:t>
          </w:r>
          <w:proofErr w:type="spellStart"/>
          <w:r w:rsidRPr="001116AA">
            <w:rPr>
              <w:rFonts w:ascii="Arial" w:hAnsi="Arial"/>
              <w:lang w:val="fr-FR"/>
            </w:rPr>
            <w:t>veracidad</w:t>
          </w:r>
          <w:proofErr w:type="spellEnd"/>
          <w:r w:rsidRPr="001116AA">
            <w:rPr>
              <w:rFonts w:ascii="Arial" w:hAnsi="Arial"/>
              <w:lang w:val="fr-FR"/>
            </w:rPr>
            <w:t xml:space="preserve"> </w:t>
          </w:r>
          <w:proofErr w:type="spellStart"/>
          <w:r w:rsidRPr="001116AA">
            <w:rPr>
              <w:rFonts w:ascii="Arial" w:hAnsi="Arial"/>
              <w:lang w:val="fr-FR"/>
            </w:rPr>
            <w:t>fuera</w:t>
          </w:r>
          <w:proofErr w:type="spellEnd"/>
          <w:r w:rsidRPr="001116AA">
            <w:rPr>
              <w:rFonts w:ascii="Arial" w:hAnsi="Arial"/>
              <w:lang w:val="fr-FR"/>
            </w:rPr>
            <w:t xml:space="preserve"> </w:t>
          </w:r>
          <w:proofErr w:type="spellStart"/>
          <w:r w:rsidRPr="001116AA">
            <w:rPr>
              <w:rFonts w:ascii="Arial" w:hAnsi="Arial"/>
              <w:lang w:val="fr-FR"/>
            </w:rPr>
            <w:t>ya</w:t>
          </w:r>
          <w:proofErr w:type="spellEnd"/>
          <w:r w:rsidRPr="001116AA">
            <w:rPr>
              <w:rFonts w:ascii="Arial" w:hAnsi="Arial"/>
              <w:lang w:val="fr-FR"/>
            </w:rPr>
            <w:t xml:space="preserve"> </w:t>
          </w:r>
          <w:proofErr w:type="spellStart"/>
          <w:r w:rsidRPr="001116AA">
            <w:rPr>
              <w:rFonts w:ascii="Arial" w:hAnsi="Arial"/>
              <w:lang w:val="fr-FR"/>
            </w:rPr>
            <w:t>del</w:t>
          </w:r>
          <w:proofErr w:type="spellEnd"/>
          <w:r w:rsidRPr="001116AA">
            <w:rPr>
              <w:rFonts w:ascii="Arial" w:hAnsi="Arial"/>
              <w:lang w:val="fr-FR"/>
            </w:rPr>
            <w:t xml:space="preserve"> </w:t>
          </w:r>
          <w:proofErr w:type="spellStart"/>
          <w:r w:rsidRPr="001116AA">
            <w:rPr>
              <w:rFonts w:ascii="Arial" w:hAnsi="Arial"/>
              <w:lang w:val="fr-FR"/>
            </w:rPr>
            <w:t>procedimiento</w:t>
          </w:r>
          <w:proofErr w:type="spellEnd"/>
          <w:r w:rsidRPr="001116AA">
            <w:rPr>
              <w:rFonts w:ascii="Arial" w:hAnsi="Arial"/>
              <w:lang w:val="fr-FR"/>
            </w:rPr>
            <w:t xml:space="preserve"> </w:t>
          </w:r>
          <w:proofErr w:type="spellStart"/>
          <w:r w:rsidRPr="001116AA">
            <w:rPr>
              <w:rFonts w:ascii="Arial" w:hAnsi="Arial"/>
              <w:lang w:val="fr-FR"/>
            </w:rPr>
            <w:t>administrativo</w:t>
          </w:r>
          <w:proofErr w:type="spellEnd"/>
          <w:r w:rsidRPr="001116AA">
            <w:rPr>
              <w:rFonts w:ascii="Arial" w:hAnsi="Arial"/>
              <w:lang w:val="fr-FR"/>
            </w:rPr>
            <w:t xml:space="preserve"> </w:t>
          </w:r>
          <w:proofErr w:type="spellStart"/>
          <w:r w:rsidRPr="001116AA">
            <w:rPr>
              <w:rFonts w:ascii="Arial" w:hAnsi="Arial"/>
              <w:lang w:val="fr-FR"/>
            </w:rPr>
            <w:t>sancionador</w:t>
          </w:r>
          <w:proofErr w:type="spellEnd"/>
          <w:r w:rsidRPr="001116AA">
            <w:rPr>
              <w:rFonts w:ascii="Arial" w:hAnsi="Arial"/>
              <w:lang w:val="fr-FR"/>
            </w:rPr>
            <w:t xml:space="preserve">. Se </w:t>
          </w:r>
          <w:proofErr w:type="spellStart"/>
          <w:r w:rsidRPr="001116AA">
            <w:rPr>
              <w:rFonts w:ascii="Arial" w:hAnsi="Arial"/>
              <w:lang w:val="fr-FR"/>
            </w:rPr>
            <w:t>trata</w:t>
          </w:r>
          <w:proofErr w:type="spellEnd"/>
          <w:r w:rsidRPr="001116AA">
            <w:rPr>
              <w:rFonts w:ascii="Arial" w:hAnsi="Arial"/>
              <w:lang w:val="fr-FR"/>
            </w:rPr>
            <w:t xml:space="preserve"> de la Sentencia </w:t>
          </w:r>
          <w:proofErr w:type="spellStart"/>
          <w:r w:rsidRPr="001116AA">
            <w:rPr>
              <w:rFonts w:ascii="Arial" w:hAnsi="Arial"/>
              <w:lang w:val="fr-FR"/>
            </w:rPr>
            <w:t>del</w:t>
          </w:r>
          <w:proofErr w:type="spellEnd"/>
          <w:r w:rsidRPr="001116AA">
            <w:rPr>
              <w:rFonts w:ascii="Arial" w:hAnsi="Arial"/>
              <w:lang w:val="fr-FR"/>
            </w:rPr>
            <w:t xml:space="preserve"> Tribunal Superior de </w:t>
          </w:r>
          <w:proofErr w:type="spellStart"/>
          <w:r w:rsidRPr="001116AA">
            <w:rPr>
              <w:rFonts w:ascii="Arial" w:hAnsi="Arial"/>
              <w:lang w:val="fr-FR"/>
            </w:rPr>
            <w:t>Justicia</w:t>
          </w:r>
          <w:proofErr w:type="spellEnd"/>
          <w:r w:rsidRPr="001116AA">
            <w:rPr>
              <w:rFonts w:ascii="Arial" w:hAnsi="Arial"/>
              <w:lang w:val="fr-FR"/>
            </w:rPr>
            <w:t xml:space="preserve"> de La Rioja de 10 de </w:t>
          </w:r>
          <w:proofErr w:type="spellStart"/>
          <w:r w:rsidRPr="001116AA">
            <w:rPr>
              <w:rFonts w:ascii="Arial" w:hAnsi="Arial"/>
              <w:lang w:val="fr-FR"/>
            </w:rPr>
            <w:t>febrero</w:t>
          </w:r>
          <w:proofErr w:type="spellEnd"/>
          <w:r w:rsidRPr="001116AA">
            <w:rPr>
              <w:rFonts w:ascii="Arial" w:hAnsi="Arial"/>
              <w:lang w:val="fr-FR"/>
            </w:rPr>
            <w:t xml:space="preserve"> de 2022 (</w:t>
          </w:r>
          <w:proofErr w:type="spellStart"/>
          <w:r w:rsidRPr="001116AA">
            <w:rPr>
              <w:rFonts w:ascii="Arial" w:hAnsi="Arial"/>
              <w:lang w:val="fr-FR"/>
            </w:rPr>
            <w:t>ponente</w:t>
          </w:r>
          <w:proofErr w:type="spellEnd"/>
          <w:r w:rsidRPr="001116AA">
            <w:rPr>
              <w:rFonts w:ascii="Arial" w:hAnsi="Arial"/>
              <w:lang w:val="fr-FR"/>
            </w:rPr>
            <w:t xml:space="preserve"> Matute Lozano). En </w:t>
          </w:r>
          <w:proofErr w:type="spellStart"/>
          <w:r w:rsidRPr="001116AA">
            <w:rPr>
              <w:rFonts w:ascii="Arial" w:hAnsi="Arial"/>
              <w:lang w:val="fr-FR"/>
            </w:rPr>
            <w:t>ella</w:t>
          </w:r>
          <w:proofErr w:type="spellEnd"/>
          <w:r w:rsidRPr="001116AA">
            <w:rPr>
              <w:rFonts w:ascii="Arial" w:hAnsi="Arial"/>
              <w:lang w:val="fr-FR"/>
            </w:rPr>
            <w:t xml:space="preserve"> se </w:t>
          </w:r>
          <w:proofErr w:type="spellStart"/>
          <w:r w:rsidRPr="001116AA">
            <w:rPr>
              <w:rFonts w:ascii="Arial" w:hAnsi="Arial"/>
              <w:lang w:val="fr-FR"/>
            </w:rPr>
            <w:t>desestima</w:t>
          </w:r>
          <w:proofErr w:type="spellEnd"/>
          <w:r w:rsidRPr="001116AA">
            <w:rPr>
              <w:rFonts w:ascii="Arial" w:hAnsi="Arial"/>
              <w:lang w:val="fr-FR"/>
            </w:rPr>
            <w:t xml:space="preserve"> </w:t>
          </w:r>
          <w:proofErr w:type="spellStart"/>
          <w:r w:rsidRPr="001116AA">
            <w:rPr>
              <w:rFonts w:ascii="Arial" w:hAnsi="Arial"/>
              <w:lang w:val="fr-FR"/>
            </w:rPr>
            <w:t>recurso</w:t>
          </w:r>
          <w:proofErr w:type="spellEnd"/>
          <w:r w:rsidRPr="001116AA">
            <w:rPr>
              <w:rFonts w:ascii="Arial" w:hAnsi="Arial"/>
              <w:lang w:val="fr-FR"/>
            </w:rPr>
            <w:t xml:space="preserve"> contra </w:t>
          </w:r>
          <w:proofErr w:type="spellStart"/>
          <w:r w:rsidRPr="001116AA">
            <w:rPr>
              <w:rFonts w:ascii="Arial" w:hAnsi="Arial"/>
              <w:lang w:val="fr-FR"/>
            </w:rPr>
            <w:t>acto</w:t>
          </w:r>
          <w:proofErr w:type="spellEnd"/>
          <w:r w:rsidRPr="001116AA">
            <w:rPr>
              <w:rFonts w:ascii="Arial" w:hAnsi="Arial"/>
              <w:lang w:val="fr-FR"/>
            </w:rPr>
            <w:t xml:space="preserve"> de </w:t>
          </w:r>
          <w:proofErr w:type="spellStart"/>
          <w:r w:rsidRPr="001116AA">
            <w:rPr>
              <w:rFonts w:ascii="Arial" w:hAnsi="Arial"/>
              <w:lang w:val="fr-FR"/>
            </w:rPr>
            <w:t>aplicación</w:t>
          </w:r>
          <w:proofErr w:type="spellEnd"/>
          <w:r w:rsidRPr="001116AA">
            <w:rPr>
              <w:rFonts w:ascii="Arial" w:hAnsi="Arial"/>
              <w:lang w:val="fr-FR"/>
            </w:rPr>
            <w:t xml:space="preserve"> de la </w:t>
          </w:r>
          <w:proofErr w:type="spellStart"/>
          <w:r w:rsidRPr="001116AA">
            <w:rPr>
              <w:rFonts w:ascii="Arial" w:hAnsi="Arial"/>
              <w:lang w:val="fr-FR"/>
            </w:rPr>
            <w:t>tasa</w:t>
          </w:r>
          <w:proofErr w:type="spellEnd"/>
          <w:r w:rsidRPr="001116AA">
            <w:rPr>
              <w:rFonts w:ascii="Arial" w:hAnsi="Arial"/>
              <w:lang w:val="fr-FR"/>
            </w:rPr>
            <w:t xml:space="preserve"> </w:t>
          </w:r>
          <w:proofErr w:type="spellStart"/>
          <w:r w:rsidRPr="001116AA">
            <w:rPr>
              <w:rFonts w:ascii="Arial" w:hAnsi="Arial"/>
              <w:lang w:val="fr-FR"/>
            </w:rPr>
            <w:t>por</w:t>
          </w:r>
          <w:proofErr w:type="spellEnd"/>
          <w:r w:rsidRPr="001116AA">
            <w:rPr>
              <w:rFonts w:ascii="Arial" w:hAnsi="Arial"/>
              <w:lang w:val="fr-FR"/>
            </w:rPr>
            <w:t xml:space="preserve"> </w:t>
          </w:r>
          <w:proofErr w:type="spellStart"/>
          <w:r w:rsidRPr="001116AA">
            <w:rPr>
              <w:rFonts w:ascii="Arial" w:hAnsi="Arial"/>
              <w:lang w:val="fr-FR"/>
            </w:rPr>
            <w:t>permisos</w:t>
          </w:r>
          <w:proofErr w:type="spellEnd"/>
          <w:r w:rsidRPr="001116AA">
            <w:rPr>
              <w:rFonts w:ascii="Arial" w:hAnsi="Arial"/>
              <w:lang w:val="fr-FR"/>
            </w:rPr>
            <w:t xml:space="preserve"> de </w:t>
          </w:r>
          <w:proofErr w:type="spellStart"/>
          <w:r w:rsidRPr="001116AA">
            <w:rPr>
              <w:rFonts w:ascii="Arial" w:hAnsi="Arial"/>
              <w:lang w:val="fr-FR"/>
            </w:rPr>
            <w:t>caza</w:t>
          </w:r>
          <w:proofErr w:type="spellEnd"/>
          <w:r w:rsidRPr="001116AA">
            <w:rPr>
              <w:rFonts w:ascii="Arial" w:hAnsi="Arial"/>
              <w:lang w:val="fr-FR"/>
            </w:rPr>
            <w:t xml:space="preserve"> en batida </w:t>
          </w:r>
          <w:proofErr w:type="spellStart"/>
          <w:r w:rsidRPr="001116AA">
            <w:rPr>
              <w:rFonts w:ascii="Arial" w:hAnsi="Arial"/>
              <w:lang w:val="fr-FR"/>
            </w:rPr>
            <w:t>mixta</w:t>
          </w:r>
          <w:proofErr w:type="spellEnd"/>
          <w:r w:rsidRPr="001116AA">
            <w:rPr>
              <w:rFonts w:ascii="Arial" w:hAnsi="Arial"/>
              <w:lang w:val="fr-FR"/>
            </w:rPr>
            <w:t xml:space="preserve"> de </w:t>
          </w:r>
          <w:proofErr w:type="spellStart"/>
          <w:r w:rsidRPr="001116AA">
            <w:rPr>
              <w:rFonts w:ascii="Arial" w:hAnsi="Arial"/>
              <w:lang w:val="fr-FR"/>
            </w:rPr>
            <w:t>jabalí</w:t>
          </w:r>
          <w:proofErr w:type="spellEnd"/>
          <w:r w:rsidRPr="001116AA">
            <w:rPr>
              <w:rFonts w:ascii="Arial" w:hAnsi="Arial"/>
              <w:lang w:val="fr-FR"/>
            </w:rPr>
            <w:t xml:space="preserve"> y </w:t>
          </w:r>
          <w:proofErr w:type="spellStart"/>
          <w:r w:rsidRPr="001116AA">
            <w:rPr>
              <w:rFonts w:ascii="Arial" w:hAnsi="Arial"/>
              <w:lang w:val="fr-FR"/>
            </w:rPr>
            <w:t>cérvidos</w:t>
          </w:r>
          <w:proofErr w:type="spellEnd"/>
          <w:r w:rsidRPr="001116AA">
            <w:rPr>
              <w:rFonts w:ascii="Arial" w:hAnsi="Arial"/>
              <w:lang w:val="fr-FR"/>
            </w:rPr>
            <w:t xml:space="preserve"> </w:t>
          </w:r>
          <w:proofErr w:type="spellStart"/>
          <w:r w:rsidRPr="001116AA">
            <w:rPr>
              <w:rFonts w:ascii="Arial" w:hAnsi="Arial"/>
              <w:lang w:val="fr-FR"/>
            </w:rPr>
            <w:t>cuya</w:t>
          </w:r>
          <w:proofErr w:type="spellEnd"/>
          <w:r w:rsidRPr="001116AA">
            <w:rPr>
              <w:rFonts w:ascii="Arial" w:hAnsi="Arial"/>
              <w:lang w:val="fr-FR"/>
            </w:rPr>
            <w:t xml:space="preserve"> </w:t>
          </w:r>
          <w:proofErr w:type="spellStart"/>
          <w:r w:rsidRPr="001116AA">
            <w:rPr>
              <w:rFonts w:ascii="Arial" w:hAnsi="Arial"/>
              <w:lang w:val="fr-FR"/>
            </w:rPr>
            <w:t>cuota</w:t>
          </w:r>
          <w:proofErr w:type="spellEnd"/>
          <w:r w:rsidRPr="001116AA">
            <w:rPr>
              <w:rFonts w:ascii="Arial" w:hAnsi="Arial"/>
              <w:lang w:val="fr-FR"/>
            </w:rPr>
            <w:t xml:space="preserve">, conforme </w:t>
          </w:r>
          <w:proofErr w:type="spellStart"/>
          <w:proofErr w:type="gramStart"/>
          <w:r w:rsidRPr="001116AA">
            <w:rPr>
              <w:rFonts w:ascii="Arial" w:hAnsi="Arial"/>
              <w:lang w:val="fr-FR"/>
            </w:rPr>
            <w:t>a</w:t>
          </w:r>
          <w:proofErr w:type="spellEnd"/>
          <w:proofErr w:type="gramEnd"/>
          <w:r w:rsidRPr="001116AA">
            <w:rPr>
              <w:rFonts w:ascii="Arial" w:hAnsi="Arial"/>
              <w:lang w:val="fr-FR"/>
            </w:rPr>
            <w:t xml:space="preserve"> la Ley 6/2002, de 18 de </w:t>
          </w:r>
          <w:proofErr w:type="spellStart"/>
          <w:r w:rsidRPr="001116AA">
            <w:rPr>
              <w:rFonts w:ascii="Arial" w:hAnsi="Arial"/>
              <w:lang w:val="fr-FR"/>
            </w:rPr>
            <w:t>octubre</w:t>
          </w:r>
          <w:proofErr w:type="spellEnd"/>
          <w:r w:rsidRPr="001116AA">
            <w:rPr>
              <w:rFonts w:ascii="Arial" w:hAnsi="Arial"/>
              <w:lang w:val="fr-FR"/>
            </w:rPr>
            <w:t xml:space="preserve">, de </w:t>
          </w:r>
          <w:proofErr w:type="spellStart"/>
          <w:r w:rsidRPr="001116AA">
            <w:rPr>
              <w:rFonts w:ascii="Arial" w:hAnsi="Arial"/>
              <w:lang w:val="fr-FR"/>
            </w:rPr>
            <w:t>tasas</w:t>
          </w:r>
          <w:proofErr w:type="spellEnd"/>
          <w:r w:rsidRPr="001116AA">
            <w:rPr>
              <w:rFonts w:ascii="Arial" w:hAnsi="Arial"/>
              <w:lang w:val="fr-FR"/>
            </w:rPr>
            <w:t xml:space="preserve"> y </w:t>
          </w:r>
          <w:proofErr w:type="spellStart"/>
          <w:r w:rsidRPr="001116AA">
            <w:rPr>
              <w:rFonts w:ascii="Arial" w:hAnsi="Arial"/>
              <w:lang w:val="fr-FR"/>
            </w:rPr>
            <w:t>precios</w:t>
          </w:r>
          <w:proofErr w:type="spellEnd"/>
          <w:r w:rsidRPr="001116AA">
            <w:rPr>
              <w:rFonts w:ascii="Arial" w:hAnsi="Arial"/>
              <w:lang w:val="fr-FR"/>
            </w:rPr>
            <w:t xml:space="preserve"> </w:t>
          </w:r>
          <w:proofErr w:type="spellStart"/>
          <w:r w:rsidRPr="001116AA">
            <w:rPr>
              <w:rFonts w:ascii="Arial" w:hAnsi="Arial"/>
              <w:lang w:val="fr-FR"/>
            </w:rPr>
            <w:t>públicos</w:t>
          </w:r>
          <w:proofErr w:type="spellEnd"/>
          <w:r w:rsidRPr="001116AA">
            <w:rPr>
              <w:rFonts w:ascii="Arial" w:hAnsi="Arial"/>
              <w:lang w:val="fr-FR"/>
            </w:rPr>
            <w:t xml:space="preserve"> de la </w:t>
          </w:r>
          <w:proofErr w:type="spellStart"/>
          <w:r w:rsidRPr="001116AA">
            <w:rPr>
              <w:rFonts w:ascii="Arial" w:hAnsi="Arial"/>
              <w:lang w:val="fr-FR"/>
            </w:rPr>
            <w:t>Comunidad</w:t>
          </w:r>
          <w:proofErr w:type="spellEnd"/>
          <w:r w:rsidRPr="001116AA">
            <w:rPr>
              <w:rFonts w:ascii="Arial" w:hAnsi="Arial"/>
              <w:lang w:val="fr-FR"/>
            </w:rPr>
            <w:t xml:space="preserve"> </w:t>
          </w:r>
          <w:proofErr w:type="spellStart"/>
          <w:r w:rsidRPr="001116AA">
            <w:rPr>
              <w:rFonts w:ascii="Arial" w:hAnsi="Arial"/>
              <w:lang w:val="fr-FR"/>
            </w:rPr>
            <w:t>Autónoma</w:t>
          </w:r>
          <w:proofErr w:type="spellEnd"/>
          <w:r w:rsidRPr="001116AA">
            <w:rPr>
              <w:rFonts w:ascii="Arial" w:hAnsi="Arial"/>
              <w:lang w:val="fr-FR"/>
            </w:rPr>
            <w:t xml:space="preserve"> de La Rioja (</w:t>
          </w:r>
          <w:proofErr w:type="spellStart"/>
          <w:r w:rsidRPr="001116AA">
            <w:rPr>
              <w:rFonts w:ascii="Arial" w:hAnsi="Arial"/>
              <w:lang w:val="fr-FR"/>
            </w:rPr>
            <w:t>también</w:t>
          </w:r>
          <w:proofErr w:type="spellEnd"/>
          <w:r w:rsidRPr="001116AA">
            <w:rPr>
              <w:rFonts w:ascii="Arial" w:hAnsi="Arial"/>
              <w:lang w:val="fr-FR"/>
            </w:rPr>
            <w:t xml:space="preserve"> </w:t>
          </w:r>
          <w:proofErr w:type="spellStart"/>
          <w:r w:rsidRPr="001116AA">
            <w:rPr>
              <w:rFonts w:ascii="Arial" w:hAnsi="Arial"/>
              <w:lang w:val="fr-FR"/>
            </w:rPr>
            <w:t>retocada</w:t>
          </w:r>
          <w:proofErr w:type="spellEnd"/>
          <w:r w:rsidRPr="001116AA">
            <w:rPr>
              <w:rFonts w:ascii="Arial" w:hAnsi="Arial"/>
              <w:lang w:val="fr-FR"/>
            </w:rPr>
            <w:t xml:space="preserve"> este </w:t>
          </w:r>
          <w:proofErr w:type="spellStart"/>
          <w:r w:rsidRPr="001116AA">
            <w:rPr>
              <w:rFonts w:ascii="Arial" w:hAnsi="Arial"/>
              <w:lang w:val="fr-FR"/>
            </w:rPr>
            <w:t>año</w:t>
          </w:r>
          <w:proofErr w:type="spellEnd"/>
          <w:r w:rsidRPr="001116AA">
            <w:rPr>
              <w:rFonts w:ascii="Arial" w:hAnsi="Arial"/>
              <w:lang w:val="fr-FR"/>
            </w:rPr>
            <w:t xml:space="preserve">), se </w:t>
          </w:r>
          <w:proofErr w:type="spellStart"/>
          <w:r w:rsidRPr="001116AA">
            <w:rPr>
              <w:rFonts w:ascii="Arial" w:hAnsi="Arial"/>
              <w:lang w:val="fr-FR"/>
            </w:rPr>
            <w:t>determina</w:t>
          </w:r>
          <w:proofErr w:type="spellEnd"/>
          <w:r w:rsidRPr="001116AA">
            <w:rPr>
              <w:rFonts w:ascii="Arial" w:hAnsi="Arial"/>
              <w:lang w:val="fr-FR"/>
            </w:rPr>
            <w:t xml:space="preserve"> en </w:t>
          </w:r>
          <w:proofErr w:type="spellStart"/>
          <w:r w:rsidRPr="001116AA">
            <w:rPr>
              <w:rFonts w:ascii="Arial" w:hAnsi="Arial"/>
              <w:lang w:val="fr-FR"/>
            </w:rPr>
            <w:t>función</w:t>
          </w:r>
          <w:proofErr w:type="spellEnd"/>
          <w:r w:rsidRPr="001116AA">
            <w:rPr>
              <w:rFonts w:ascii="Arial" w:hAnsi="Arial"/>
              <w:lang w:val="fr-FR"/>
            </w:rPr>
            <w:t xml:space="preserve"> de las </w:t>
          </w:r>
          <w:proofErr w:type="spellStart"/>
          <w:r w:rsidRPr="001116AA">
            <w:rPr>
              <w:rFonts w:ascii="Arial" w:hAnsi="Arial"/>
              <w:lang w:val="fr-FR"/>
            </w:rPr>
            <w:t>piezas</w:t>
          </w:r>
          <w:proofErr w:type="spellEnd"/>
          <w:r w:rsidRPr="001116AA">
            <w:rPr>
              <w:rFonts w:ascii="Arial" w:hAnsi="Arial"/>
              <w:lang w:val="fr-FR"/>
            </w:rPr>
            <w:t xml:space="preserve"> </w:t>
          </w:r>
          <w:proofErr w:type="spellStart"/>
          <w:r w:rsidRPr="001116AA">
            <w:rPr>
              <w:rFonts w:ascii="Arial" w:hAnsi="Arial"/>
              <w:lang w:val="fr-FR"/>
            </w:rPr>
            <w:t>cobradas</w:t>
          </w:r>
          <w:proofErr w:type="spellEnd"/>
          <w:r w:rsidRPr="001116AA">
            <w:rPr>
              <w:rFonts w:ascii="Arial" w:hAnsi="Arial"/>
              <w:lang w:val="fr-FR"/>
            </w:rPr>
            <w:t xml:space="preserve"> </w:t>
          </w:r>
          <w:proofErr w:type="spellStart"/>
          <w:r w:rsidRPr="001116AA">
            <w:rPr>
              <w:rFonts w:ascii="Arial" w:hAnsi="Arial"/>
              <w:lang w:val="fr-FR"/>
            </w:rPr>
            <w:t>dentro</w:t>
          </w:r>
          <w:proofErr w:type="spellEnd"/>
          <w:r w:rsidRPr="001116AA">
            <w:rPr>
              <w:rFonts w:ascii="Arial" w:hAnsi="Arial"/>
              <w:lang w:val="fr-FR"/>
            </w:rPr>
            <w:t xml:space="preserve"> de </w:t>
          </w:r>
          <w:proofErr w:type="spellStart"/>
          <w:r w:rsidRPr="001116AA">
            <w:rPr>
              <w:rFonts w:ascii="Arial" w:hAnsi="Arial"/>
              <w:lang w:val="fr-FR"/>
            </w:rPr>
            <w:t>cupo</w:t>
          </w:r>
          <w:proofErr w:type="spellEnd"/>
          <w:r w:rsidRPr="001116AA">
            <w:rPr>
              <w:rFonts w:ascii="Arial" w:hAnsi="Arial"/>
              <w:lang w:val="fr-FR"/>
            </w:rPr>
            <w:t xml:space="preserve">. En </w:t>
          </w:r>
          <w:proofErr w:type="spellStart"/>
          <w:r w:rsidRPr="001116AA">
            <w:rPr>
              <w:rFonts w:ascii="Arial" w:hAnsi="Arial"/>
              <w:lang w:val="fr-FR"/>
            </w:rPr>
            <w:t>aquel</w:t>
          </w:r>
          <w:proofErr w:type="spellEnd"/>
          <w:r w:rsidRPr="001116AA">
            <w:rPr>
              <w:rFonts w:ascii="Arial" w:hAnsi="Arial"/>
              <w:lang w:val="fr-FR"/>
            </w:rPr>
            <w:t xml:space="preserve"> </w:t>
          </w:r>
          <w:proofErr w:type="spellStart"/>
          <w:r w:rsidRPr="001116AA">
            <w:rPr>
              <w:rFonts w:ascii="Arial" w:hAnsi="Arial"/>
              <w:lang w:val="fr-FR"/>
            </w:rPr>
            <w:t>caso</w:t>
          </w:r>
          <w:proofErr w:type="spellEnd"/>
          <w:r w:rsidRPr="001116AA">
            <w:rPr>
              <w:rFonts w:ascii="Arial" w:hAnsi="Arial"/>
              <w:lang w:val="fr-FR"/>
            </w:rPr>
            <w:t xml:space="preserve">, el </w:t>
          </w:r>
          <w:proofErr w:type="spellStart"/>
          <w:r w:rsidRPr="001116AA">
            <w:rPr>
              <w:rFonts w:ascii="Arial" w:hAnsi="Arial"/>
              <w:lang w:val="fr-FR"/>
            </w:rPr>
            <w:t>cupo</w:t>
          </w:r>
          <w:proofErr w:type="spellEnd"/>
          <w:r w:rsidRPr="001116AA">
            <w:rPr>
              <w:rFonts w:ascii="Arial" w:hAnsi="Arial"/>
              <w:lang w:val="fr-FR"/>
            </w:rPr>
            <w:t xml:space="preserve"> de </w:t>
          </w:r>
          <w:proofErr w:type="spellStart"/>
          <w:r w:rsidRPr="001116AA">
            <w:rPr>
              <w:rFonts w:ascii="Arial" w:hAnsi="Arial"/>
              <w:lang w:val="fr-FR"/>
            </w:rPr>
            <w:t>piezas</w:t>
          </w:r>
          <w:proofErr w:type="spellEnd"/>
          <w:r w:rsidRPr="001116AA">
            <w:rPr>
              <w:rFonts w:ascii="Arial" w:hAnsi="Arial"/>
              <w:lang w:val="fr-FR"/>
            </w:rPr>
            <w:t xml:space="preserve"> </w:t>
          </w:r>
          <w:proofErr w:type="spellStart"/>
          <w:r w:rsidRPr="001116AA">
            <w:rPr>
              <w:rFonts w:ascii="Arial" w:hAnsi="Arial"/>
              <w:lang w:val="fr-FR"/>
            </w:rPr>
            <w:t>autorizadas</w:t>
          </w:r>
          <w:proofErr w:type="spellEnd"/>
          <w:r w:rsidRPr="001116AA">
            <w:rPr>
              <w:rFonts w:ascii="Arial" w:hAnsi="Arial"/>
              <w:lang w:val="fr-FR"/>
            </w:rPr>
            <w:t xml:space="preserve"> </w:t>
          </w:r>
          <w:proofErr w:type="spellStart"/>
          <w:r w:rsidRPr="001116AA">
            <w:rPr>
              <w:rFonts w:ascii="Arial" w:hAnsi="Arial"/>
              <w:lang w:val="fr-FR"/>
            </w:rPr>
            <w:t>era</w:t>
          </w:r>
          <w:proofErr w:type="spellEnd"/>
          <w:r w:rsidRPr="001116AA">
            <w:rPr>
              <w:rFonts w:ascii="Arial" w:hAnsi="Arial"/>
              <w:lang w:val="fr-FR"/>
            </w:rPr>
            <w:t xml:space="preserve"> de cuatro </w:t>
          </w:r>
          <w:proofErr w:type="spellStart"/>
          <w:r w:rsidRPr="001116AA">
            <w:rPr>
              <w:rFonts w:ascii="Arial" w:hAnsi="Arial"/>
              <w:lang w:val="fr-FR"/>
            </w:rPr>
            <w:t>jabalís</w:t>
          </w:r>
          <w:proofErr w:type="spellEnd"/>
          <w:r w:rsidRPr="001116AA">
            <w:rPr>
              <w:rFonts w:ascii="Arial" w:hAnsi="Arial"/>
              <w:lang w:val="fr-FR"/>
            </w:rPr>
            <w:t xml:space="preserve"> macho o </w:t>
          </w:r>
          <w:proofErr w:type="spellStart"/>
          <w:r w:rsidRPr="001116AA">
            <w:rPr>
              <w:rFonts w:ascii="Arial" w:hAnsi="Arial"/>
              <w:lang w:val="fr-FR"/>
            </w:rPr>
            <w:t>hembra</w:t>
          </w:r>
          <w:proofErr w:type="spellEnd"/>
          <w:r w:rsidRPr="001116AA">
            <w:rPr>
              <w:rFonts w:ascii="Arial" w:hAnsi="Arial"/>
              <w:lang w:val="fr-FR"/>
            </w:rPr>
            <w:t xml:space="preserve"> y </w:t>
          </w:r>
          <w:proofErr w:type="spellStart"/>
          <w:r w:rsidRPr="001116AA">
            <w:rPr>
              <w:rFonts w:ascii="Arial" w:hAnsi="Arial"/>
              <w:lang w:val="fr-FR"/>
            </w:rPr>
            <w:t>cinco</w:t>
          </w:r>
          <w:proofErr w:type="spellEnd"/>
          <w:r w:rsidRPr="001116AA">
            <w:rPr>
              <w:rFonts w:ascii="Arial" w:hAnsi="Arial"/>
              <w:lang w:val="fr-FR"/>
            </w:rPr>
            <w:t xml:space="preserve"> de </w:t>
          </w:r>
          <w:proofErr w:type="spellStart"/>
          <w:r w:rsidRPr="001116AA">
            <w:rPr>
              <w:rFonts w:ascii="Arial" w:hAnsi="Arial"/>
              <w:lang w:val="fr-FR"/>
            </w:rPr>
            <w:t>ciervo</w:t>
          </w:r>
          <w:proofErr w:type="spellEnd"/>
          <w:r w:rsidRPr="001116AA">
            <w:rPr>
              <w:rFonts w:ascii="Arial" w:hAnsi="Arial"/>
              <w:lang w:val="fr-FR"/>
            </w:rPr>
            <w:t xml:space="preserve"> </w:t>
          </w:r>
          <w:proofErr w:type="spellStart"/>
          <w:r w:rsidRPr="001116AA">
            <w:rPr>
              <w:rFonts w:ascii="Arial" w:hAnsi="Arial"/>
              <w:lang w:val="fr-FR"/>
            </w:rPr>
            <w:t>selectivo</w:t>
          </w:r>
          <w:proofErr w:type="spellEnd"/>
          <w:r w:rsidRPr="001116AA">
            <w:rPr>
              <w:rFonts w:ascii="Arial" w:hAnsi="Arial"/>
              <w:lang w:val="fr-FR"/>
            </w:rPr>
            <w:t xml:space="preserve">. </w:t>
          </w:r>
          <w:proofErr w:type="spellStart"/>
          <w:r w:rsidRPr="001116AA">
            <w:rPr>
              <w:rFonts w:ascii="Arial" w:hAnsi="Arial"/>
              <w:lang w:val="fr-FR"/>
            </w:rPr>
            <w:t>Pero</w:t>
          </w:r>
          <w:proofErr w:type="spellEnd"/>
          <w:r w:rsidRPr="001116AA">
            <w:rPr>
              <w:rFonts w:ascii="Arial" w:hAnsi="Arial"/>
              <w:lang w:val="fr-FR"/>
            </w:rPr>
            <w:t xml:space="preserve"> la </w:t>
          </w:r>
          <w:proofErr w:type="spellStart"/>
          <w:r w:rsidRPr="001116AA">
            <w:rPr>
              <w:rFonts w:ascii="Arial" w:hAnsi="Arial"/>
              <w:lang w:val="fr-FR"/>
            </w:rPr>
            <w:t>controversia</w:t>
          </w:r>
          <w:proofErr w:type="spellEnd"/>
          <w:r w:rsidRPr="001116AA">
            <w:rPr>
              <w:rFonts w:ascii="Arial" w:hAnsi="Arial"/>
              <w:lang w:val="fr-FR"/>
            </w:rPr>
            <w:t xml:space="preserve"> </w:t>
          </w:r>
          <w:proofErr w:type="spellStart"/>
          <w:r w:rsidRPr="001116AA">
            <w:rPr>
              <w:rFonts w:ascii="Arial" w:hAnsi="Arial"/>
              <w:lang w:val="fr-FR"/>
            </w:rPr>
            <w:t>surge</w:t>
          </w:r>
          <w:proofErr w:type="spellEnd"/>
          <w:r w:rsidRPr="001116AA">
            <w:rPr>
              <w:rFonts w:ascii="Arial" w:hAnsi="Arial"/>
              <w:lang w:val="fr-FR"/>
            </w:rPr>
            <w:t xml:space="preserve"> porque la </w:t>
          </w:r>
          <w:proofErr w:type="spellStart"/>
          <w:r w:rsidRPr="001116AA">
            <w:rPr>
              <w:rFonts w:ascii="Arial" w:hAnsi="Arial"/>
              <w:lang w:val="fr-FR"/>
            </w:rPr>
            <w:t>Administración</w:t>
          </w:r>
          <w:proofErr w:type="spellEnd"/>
          <w:r w:rsidRPr="001116AA">
            <w:rPr>
              <w:rFonts w:ascii="Arial" w:hAnsi="Arial"/>
              <w:lang w:val="fr-FR"/>
            </w:rPr>
            <w:t xml:space="preserve"> gira </w:t>
          </w:r>
          <w:proofErr w:type="spellStart"/>
          <w:r w:rsidRPr="001116AA">
            <w:rPr>
              <w:rFonts w:ascii="Arial" w:hAnsi="Arial"/>
              <w:lang w:val="fr-FR"/>
            </w:rPr>
            <w:t>liquidación</w:t>
          </w:r>
          <w:proofErr w:type="spellEnd"/>
          <w:r w:rsidRPr="001116AA">
            <w:rPr>
              <w:rFonts w:ascii="Arial" w:hAnsi="Arial"/>
              <w:lang w:val="fr-FR"/>
            </w:rPr>
            <w:t xml:space="preserve"> </w:t>
          </w:r>
          <w:proofErr w:type="spellStart"/>
          <w:r w:rsidRPr="001116AA">
            <w:rPr>
              <w:rFonts w:ascii="Arial" w:hAnsi="Arial"/>
              <w:lang w:val="fr-FR"/>
            </w:rPr>
            <w:t>por</w:t>
          </w:r>
          <w:proofErr w:type="spellEnd"/>
          <w:r w:rsidRPr="001116AA">
            <w:rPr>
              <w:rFonts w:ascii="Arial" w:hAnsi="Arial"/>
              <w:lang w:val="fr-FR"/>
            </w:rPr>
            <w:t xml:space="preserve"> </w:t>
          </w:r>
          <w:proofErr w:type="spellStart"/>
          <w:r w:rsidRPr="001116AA">
            <w:rPr>
              <w:rFonts w:ascii="Arial" w:hAnsi="Arial"/>
              <w:lang w:val="fr-FR"/>
            </w:rPr>
            <w:t>exceso</w:t>
          </w:r>
          <w:proofErr w:type="spellEnd"/>
          <w:r w:rsidRPr="001116AA">
            <w:rPr>
              <w:rFonts w:ascii="Arial" w:hAnsi="Arial"/>
              <w:lang w:val="fr-FR"/>
            </w:rPr>
            <w:t xml:space="preserve"> de </w:t>
          </w:r>
          <w:proofErr w:type="spellStart"/>
          <w:r w:rsidRPr="001116AA">
            <w:rPr>
              <w:rFonts w:ascii="Arial" w:hAnsi="Arial"/>
              <w:lang w:val="fr-FR"/>
            </w:rPr>
            <w:t>cupo</w:t>
          </w:r>
          <w:proofErr w:type="spellEnd"/>
          <w:r w:rsidRPr="001116AA">
            <w:rPr>
              <w:rFonts w:ascii="Arial" w:hAnsi="Arial"/>
              <w:lang w:val="fr-FR"/>
            </w:rPr>
            <w:t xml:space="preserve"> </w:t>
          </w:r>
          <w:proofErr w:type="spellStart"/>
          <w:r w:rsidRPr="001116AA">
            <w:rPr>
              <w:rFonts w:ascii="Arial" w:hAnsi="Arial"/>
              <w:lang w:val="fr-FR"/>
            </w:rPr>
            <w:t>aduciendo</w:t>
          </w:r>
          <w:proofErr w:type="spellEnd"/>
          <w:r w:rsidRPr="001116AA">
            <w:rPr>
              <w:rFonts w:ascii="Arial" w:hAnsi="Arial"/>
              <w:lang w:val="fr-FR"/>
            </w:rPr>
            <w:t xml:space="preserve"> la </w:t>
          </w:r>
          <w:proofErr w:type="spellStart"/>
          <w:r w:rsidRPr="001116AA">
            <w:rPr>
              <w:rFonts w:ascii="Arial" w:hAnsi="Arial"/>
              <w:lang w:val="fr-FR"/>
            </w:rPr>
            <w:t>ocultación</w:t>
          </w:r>
          <w:proofErr w:type="spellEnd"/>
          <w:r w:rsidRPr="001116AA">
            <w:rPr>
              <w:rFonts w:ascii="Arial" w:hAnsi="Arial"/>
              <w:lang w:val="fr-FR"/>
            </w:rPr>
            <w:t xml:space="preserve"> de dos </w:t>
          </w:r>
          <w:proofErr w:type="spellStart"/>
          <w:r w:rsidRPr="001116AA">
            <w:rPr>
              <w:rFonts w:ascii="Arial" w:hAnsi="Arial"/>
              <w:lang w:val="fr-FR"/>
            </w:rPr>
            <w:t>piezas</w:t>
          </w:r>
          <w:proofErr w:type="spellEnd"/>
          <w:r w:rsidRPr="001116AA">
            <w:rPr>
              <w:rFonts w:ascii="Arial" w:hAnsi="Arial"/>
              <w:lang w:val="fr-FR"/>
            </w:rPr>
            <w:t xml:space="preserve"> de </w:t>
          </w:r>
          <w:proofErr w:type="spellStart"/>
          <w:r w:rsidRPr="001116AA">
            <w:rPr>
              <w:rFonts w:ascii="Arial" w:hAnsi="Arial"/>
              <w:lang w:val="fr-FR"/>
            </w:rPr>
            <w:t>jabalí</w:t>
          </w:r>
          <w:proofErr w:type="spellEnd"/>
          <w:r w:rsidRPr="001116AA">
            <w:rPr>
              <w:rFonts w:ascii="Arial" w:hAnsi="Arial"/>
              <w:lang w:val="fr-FR"/>
            </w:rPr>
            <w:t>.</w:t>
          </w:r>
        </w:p>
        <w:p w14:paraId="6C305E42" w14:textId="3BC336D1" w:rsidR="00BC14E3" w:rsidRPr="00740B4F" w:rsidRDefault="001116AA" w:rsidP="001116AA">
          <w:pPr>
            <w:rPr>
              <w:rFonts w:ascii="Arial" w:hAnsi="Arial"/>
              <w:lang w:val="es-ES_tradnl"/>
            </w:rPr>
          </w:pPr>
          <w:r w:rsidRPr="001116AA">
            <w:rPr>
              <w:rFonts w:ascii="Arial" w:hAnsi="Arial"/>
              <w:lang w:val="fr-FR"/>
            </w:rPr>
            <w:t xml:space="preserve">Tal </w:t>
          </w:r>
          <w:proofErr w:type="spellStart"/>
          <w:r w:rsidRPr="001116AA">
            <w:rPr>
              <w:rFonts w:ascii="Arial" w:hAnsi="Arial"/>
              <w:lang w:val="fr-FR"/>
            </w:rPr>
            <w:t>ocultación</w:t>
          </w:r>
          <w:proofErr w:type="spellEnd"/>
          <w:r w:rsidRPr="001116AA">
            <w:rPr>
              <w:rFonts w:ascii="Arial" w:hAnsi="Arial"/>
              <w:lang w:val="fr-FR"/>
            </w:rPr>
            <w:t xml:space="preserve"> </w:t>
          </w:r>
          <w:proofErr w:type="spellStart"/>
          <w:r w:rsidRPr="001116AA">
            <w:rPr>
              <w:rFonts w:ascii="Arial" w:hAnsi="Arial"/>
              <w:lang w:val="fr-FR"/>
            </w:rPr>
            <w:t>había</w:t>
          </w:r>
          <w:proofErr w:type="spellEnd"/>
          <w:r w:rsidRPr="001116AA">
            <w:rPr>
              <w:rFonts w:ascii="Arial" w:hAnsi="Arial"/>
              <w:lang w:val="fr-FR"/>
            </w:rPr>
            <w:t xml:space="preserve"> </w:t>
          </w:r>
          <w:proofErr w:type="spellStart"/>
          <w:r w:rsidRPr="001116AA">
            <w:rPr>
              <w:rFonts w:ascii="Arial" w:hAnsi="Arial"/>
              <w:lang w:val="fr-FR"/>
            </w:rPr>
            <w:t>motivado</w:t>
          </w:r>
          <w:proofErr w:type="spellEnd"/>
          <w:r w:rsidRPr="001116AA">
            <w:rPr>
              <w:rFonts w:ascii="Arial" w:hAnsi="Arial"/>
              <w:lang w:val="fr-FR"/>
            </w:rPr>
            <w:t xml:space="preserve"> la </w:t>
          </w:r>
          <w:proofErr w:type="spellStart"/>
          <w:r w:rsidRPr="001116AA">
            <w:rPr>
              <w:rFonts w:ascii="Arial" w:hAnsi="Arial"/>
              <w:lang w:val="fr-FR"/>
            </w:rPr>
            <w:t>apertura</w:t>
          </w:r>
          <w:proofErr w:type="spellEnd"/>
          <w:r w:rsidRPr="001116AA">
            <w:rPr>
              <w:rFonts w:ascii="Arial" w:hAnsi="Arial"/>
              <w:lang w:val="fr-FR"/>
            </w:rPr>
            <w:t xml:space="preserve"> </w:t>
          </w:r>
          <w:proofErr w:type="gramStart"/>
          <w:r w:rsidRPr="001116AA">
            <w:rPr>
              <w:rFonts w:ascii="Arial" w:hAnsi="Arial"/>
              <w:lang w:val="fr-FR"/>
            </w:rPr>
            <w:t>de un</w:t>
          </w:r>
          <w:proofErr w:type="gramEnd"/>
          <w:r w:rsidRPr="001116AA">
            <w:rPr>
              <w:rFonts w:ascii="Arial" w:hAnsi="Arial"/>
              <w:lang w:val="fr-FR"/>
            </w:rPr>
            <w:t xml:space="preserve"> </w:t>
          </w:r>
          <w:proofErr w:type="spellStart"/>
          <w:r w:rsidRPr="001116AA">
            <w:rPr>
              <w:rFonts w:ascii="Arial" w:hAnsi="Arial"/>
              <w:lang w:val="fr-FR"/>
            </w:rPr>
            <w:t>expediente</w:t>
          </w:r>
          <w:proofErr w:type="spellEnd"/>
          <w:r w:rsidRPr="001116AA">
            <w:rPr>
              <w:rFonts w:ascii="Arial" w:hAnsi="Arial"/>
              <w:lang w:val="fr-FR"/>
            </w:rPr>
            <w:t xml:space="preserve"> </w:t>
          </w:r>
          <w:proofErr w:type="spellStart"/>
          <w:r w:rsidRPr="001116AA">
            <w:rPr>
              <w:rFonts w:ascii="Arial" w:hAnsi="Arial"/>
              <w:lang w:val="fr-FR"/>
            </w:rPr>
            <w:t>sancionador</w:t>
          </w:r>
          <w:proofErr w:type="spellEnd"/>
          <w:r w:rsidRPr="001116AA">
            <w:rPr>
              <w:rFonts w:ascii="Arial" w:hAnsi="Arial"/>
              <w:lang w:val="fr-FR"/>
            </w:rPr>
            <w:t xml:space="preserve"> que se </w:t>
          </w:r>
          <w:proofErr w:type="spellStart"/>
          <w:r w:rsidRPr="001116AA">
            <w:rPr>
              <w:rFonts w:ascii="Arial" w:hAnsi="Arial"/>
              <w:lang w:val="fr-FR"/>
            </w:rPr>
            <w:t>archivó</w:t>
          </w:r>
          <w:proofErr w:type="spellEnd"/>
          <w:r w:rsidRPr="001116AA">
            <w:rPr>
              <w:rFonts w:ascii="Arial" w:hAnsi="Arial"/>
              <w:lang w:val="fr-FR"/>
            </w:rPr>
            <w:t xml:space="preserve">. Sin embargo, para la Sala, a </w:t>
          </w:r>
          <w:proofErr w:type="spellStart"/>
          <w:r w:rsidRPr="001116AA">
            <w:rPr>
              <w:rFonts w:ascii="Arial" w:hAnsi="Arial"/>
              <w:lang w:val="fr-FR"/>
            </w:rPr>
            <w:t>efectos</w:t>
          </w:r>
          <w:proofErr w:type="spellEnd"/>
          <w:r w:rsidRPr="001116AA">
            <w:rPr>
              <w:rFonts w:ascii="Arial" w:hAnsi="Arial"/>
              <w:lang w:val="fr-FR"/>
            </w:rPr>
            <w:t xml:space="preserve"> fiscales, “el </w:t>
          </w:r>
          <w:proofErr w:type="spellStart"/>
          <w:r w:rsidRPr="001116AA">
            <w:rPr>
              <w:rFonts w:ascii="Arial" w:hAnsi="Arial"/>
              <w:lang w:val="fr-FR"/>
            </w:rPr>
            <w:t>hecho</w:t>
          </w:r>
          <w:proofErr w:type="spellEnd"/>
          <w:r w:rsidRPr="001116AA">
            <w:rPr>
              <w:rFonts w:ascii="Arial" w:hAnsi="Arial"/>
              <w:lang w:val="fr-FR"/>
            </w:rPr>
            <w:t xml:space="preserve"> de no </w:t>
          </w:r>
          <w:proofErr w:type="spellStart"/>
          <w:r w:rsidRPr="001116AA">
            <w:rPr>
              <w:rFonts w:ascii="Arial" w:hAnsi="Arial"/>
              <w:lang w:val="fr-FR"/>
            </w:rPr>
            <w:t>haber</w:t>
          </w:r>
          <w:proofErr w:type="spellEnd"/>
          <w:r w:rsidRPr="001116AA">
            <w:rPr>
              <w:rFonts w:ascii="Arial" w:hAnsi="Arial"/>
              <w:lang w:val="fr-FR"/>
            </w:rPr>
            <w:t xml:space="preserve"> </w:t>
          </w:r>
          <w:proofErr w:type="spellStart"/>
          <w:r w:rsidRPr="001116AA">
            <w:rPr>
              <w:rFonts w:ascii="Arial" w:hAnsi="Arial"/>
              <w:lang w:val="fr-FR"/>
            </w:rPr>
            <w:t>sido</w:t>
          </w:r>
          <w:proofErr w:type="spellEnd"/>
          <w:r w:rsidRPr="001116AA">
            <w:rPr>
              <w:rFonts w:ascii="Arial" w:hAnsi="Arial"/>
              <w:lang w:val="fr-FR"/>
            </w:rPr>
            <w:t xml:space="preserve"> </w:t>
          </w:r>
          <w:proofErr w:type="spellStart"/>
          <w:r w:rsidRPr="001116AA">
            <w:rPr>
              <w:rFonts w:ascii="Arial" w:hAnsi="Arial"/>
              <w:lang w:val="fr-FR"/>
            </w:rPr>
            <w:t>sancionado</w:t>
          </w:r>
          <w:proofErr w:type="spellEnd"/>
          <w:r w:rsidRPr="001116AA">
            <w:rPr>
              <w:rFonts w:ascii="Arial" w:hAnsi="Arial"/>
              <w:lang w:val="fr-FR"/>
            </w:rPr>
            <w:t xml:space="preserve"> en modo </w:t>
          </w:r>
          <w:proofErr w:type="spellStart"/>
          <w:r w:rsidRPr="001116AA">
            <w:rPr>
              <w:rFonts w:ascii="Arial" w:hAnsi="Arial"/>
              <w:lang w:val="fr-FR"/>
            </w:rPr>
            <w:t>alguno</w:t>
          </w:r>
          <w:proofErr w:type="spellEnd"/>
          <w:r w:rsidRPr="001116AA">
            <w:rPr>
              <w:rFonts w:ascii="Arial" w:hAnsi="Arial"/>
              <w:lang w:val="fr-FR"/>
            </w:rPr>
            <w:t xml:space="preserve"> </w:t>
          </w:r>
          <w:proofErr w:type="spellStart"/>
          <w:r w:rsidRPr="001116AA">
            <w:rPr>
              <w:rFonts w:ascii="Arial" w:hAnsi="Arial"/>
              <w:lang w:val="fr-FR"/>
            </w:rPr>
            <w:t>significa</w:t>
          </w:r>
          <w:proofErr w:type="spellEnd"/>
          <w:r w:rsidRPr="001116AA">
            <w:rPr>
              <w:rFonts w:ascii="Arial" w:hAnsi="Arial"/>
              <w:lang w:val="fr-FR"/>
            </w:rPr>
            <w:t xml:space="preserve"> que los </w:t>
          </w:r>
          <w:proofErr w:type="spellStart"/>
          <w:r w:rsidRPr="001116AA">
            <w:rPr>
              <w:rFonts w:ascii="Arial" w:hAnsi="Arial"/>
              <w:lang w:val="fr-FR"/>
            </w:rPr>
            <w:t>hechos</w:t>
          </w:r>
          <w:proofErr w:type="spellEnd"/>
          <w:r w:rsidRPr="001116AA">
            <w:rPr>
              <w:rFonts w:ascii="Arial" w:hAnsi="Arial"/>
              <w:lang w:val="fr-FR"/>
            </w:rPr>
            <w:t xml:space="preserve"> </w:t>
          </w:r>
          <w:proofErr w:type="spellStart"/>
          <w:r w:rsidRPr="001116AA">
            <w:rPr>
              <w:rFonts w:ascii="Arial" w:hAnsi="Arial"/>
              <w:lang w:val="fr-FR"/>
            </w:rPr>
            <w:t>constatados</w:t>
          </w:r>
          <w:proofErr w:type="spellEnd"/>
          <w:r w:rsidRPr="001116AA">
            <w:rPr>
              <w:rFonts w:ascii="Arial" w:hAnsi="Arial"/>
              <w:lang w:val="fr-FR"/>
            </w:rPr>
            <w:t xml:space="preserve"> </w:t>
          </w:r>
          <w:proofErr w:type="spellStart"/>
          <w:r w:rsidRPr="001116AA">
            <w:rPr>
              <w:rFonts w:ascii="Arial" w:hAnsi="Arial"/>
              <w:lang w:val="fr-FR"/>
            </w:rPr>
            <w:t>por</w:t>
          </w:r>
          <w:proofErr w:type="spellEnd"/>
          <w:r w:rsidRPr="001116AA">
            <w:rPr>
              <w:rFonts w:ascii="Arial" w:hAnsi="Arial"/>
              <w:lang w:val="fr-FR"/>
            </w:rPr>
            <w:t xml:space="preserve"> los agentes de </w:t>
          </w:r>
          <w:proofErr w:type="spellStart"/>
          <w:r w:rsidRPr="001116AA">
            <w:rPr>
              <w:rFonts w:ascii="Arial" w:hAnsi="Arial"/>
              <w:lang w:val="fr-FR"/>
            </w:rPr>
            <w:t>autoridad</w:t>
          </w:r>
          <w:proofErr w:type="spellEnd"/>
          <w:r w:rsidRPr="001116AA">
            <w:rPr>
              <w:rFonts w:ascii="Arial" w:hAnsi="Arial"/>
              <w:lang w:val="fr-FR"/>
            </w:rPr>
            <w:t xml:space="preserve"> en el </w:t>
          </w:r>
          <w:proofErr w:type="spellStart"/>
          <w:r w:rsidRPr="001116AA">
            <w:rPr>
              <w:rFonts w:ascii="Arial" w:hAnsi="Arial"/>
              <w:lang w:val="fr-FR"/>
            </w:rPr>
            <w:t>expediente</w:t>
          </w:r>
          <w:proofErr w:type="spellEnd"/>
          <w:r w:rsidRPr="001116AA">
            <w:rPr>
              <w:rFonts w:ascii="Arial" w:hAnsi="Arial"/>
              <w:lang w:val="fr-FR"/>
            </w:rPr>
            <w:t xml:space="preserve"> </w:t>
          </w:r>
          <w:proofErr w:type="spellStart"/>
          <w:r w:rsidRPr="001116AA">
            <w:rPr>
              <w:rFonts w:ascii="Arial" w:hAnsi="Arial"/>
              <w:lang w:val="fr-FR"/>
            </w:rPr>
            <w:t>sancionador</w:t>
          </w:r>
          <w:proofErr w:type="spellEnd"/>
          <w:r w:rsidRPr="001116AA">
            <w:rPr>
              <w:rFonts w:ascii="Arial" w:hAnsi="Arial"/>
              <w:lang w:val="fr-FR"/>
            </w:rPr>
            <w:t xml:space="preserve"> </w:t>
          </w:r>
          <w:proofErr w:type="spellStart"/>
          <w:r w:rsidRPr="001116AA">
            <w:rPr>
              <w:rFonts w:ascii="Arial" w:hAnsi="Arial"/>
              <w:lang w:val="fr-FR"/>
            </w:rPr>
            <w:t>hayan</w:t>
          </w:r>
          <w:proofErr w:type="spellEnd"/>
          <w:r w:rsidRPr="001116AA">
            <w:rPr>
              <w:rFonts w:ascii="Arial" w:hAnsi="Arial"/>
              <w:lang w:val="fr-FR"/>
            </w:rPr>
            <w:t xml:space="preserve"> </w:t>
          </w:r>
          <w:proofErr w:type="spellStart"/>
          <w:r w:rsidRPr="001116AA">
            <w:rPr>
              <w:rFonts w:ascii="Arial" w:hAnsi="Arial"/>
              <w:lang w:val="fr-FR"/>
            </w:rPr>
            <w:t>dejado</w:t>
          </w:r>
          <w:proofErr w:type="spellEnd"/>
          <w:r w:rsidRPr="001116AA">
            <w:rPr>
              <w:rFonts w:ascii="Arial" w:hAnsi="Arial"/>
              <w:lang w:val="fr-FR"/>
            </w:rPr>
            <w:t xml:space="preserve"> de </w:t>
          </w:r>
          <w:proofErr w:type="spellStart"/>
          <w:r w:rsidRPr="001116AA">
            <w:rPr>
              <w:rFonts w:ascii="Arial" w:hAnsi="Arial"/>
              <w:lang w:val="fr-FR"/>
            </w:rPr>
            <w:t>existir</w:t>
          </w:r>
          <w:proofErr w:type="spellEnd"/>
          <w:r w:rsidRPr="001116AA">
            <w:rPr>
              <w:rFonts w:ascii="Arial" w:hAnsi="Arial"/>
              <w:lang w:val="fr-FR"/>
            </w:rPr>
            <w:t xml:space="preserve"> o </w:t>
          </w:r>
          <w:proofErr w:type="spellStart"/>
          <w:r w:rsidRPr="001116AA">
            <w:rPr>
              <w:rFonts w:ascii="Arial" w:hAnsi="Arial"/>
              <w:lang w:val="fr-FR"/>
            </w:rPr>
            <w:t>hayan</w:t>
          </w:r>
          <w:proofErr w:type="spellEnd"/>
          <w:r w:rsidRPr="001116AA">
            <w:rPr>
              <w:rFonts w:ascii="Arial" w:hAnsi="Arial"/>
              <w:lang w:val="fr-FR"/>
            </w:rPr>
            <w:t xml:space="preserve"> </w:t>
          </w:r>
          <w:proofErr w:type="spellStart"/>
          <w:r w:rsidRPr="001116AA">
            <w:rPr>
              <w:rFonts w:ascii="Arial" w:hAnsi="Arial"/>
              <w:lang w:val="fr-FR"/>
            </w:rPr>
            <w:t>dejado</w:t>
          </w:r>
          <w:proofErr w:type="spellEnd"/>
          <w:r w:rsidRPr="001116AA">
            <w:rPr>
              <w:rFonts w:ascii="Arial" w:hAnsi="Arial"/>
              <w:lang w:val="fr-FR"/>
            </w:rPr>
            <w:t xml:space="preserve"> de </w:t>
          </w:r>
          <w:proofErr w:type="spellStart"/>
          <w:r w:rsidRPr="001116AA">
            <w:rPr>
              <w:rFonts w:ascii="Arial" w:hAnsi="Arial"/>
              <w:lang w:val="fr-FR"/>
            </w:rPr>
            <w:t>ser</w:t>
          </w:r>
          <w:proofErr w:type="spellEnd"/>
          <w:r w:rsidRPr="001116AA">
            <w:rPr>
              <w:rFonts w:ascii="Arial" w:hAnsi="Arial"/>
              <w:lang w:val="fr-FR"/>
            </w:rPr>
            <w:t xml:space="preserve"> </w:t>
          </w:r>
          <w:proofErr w:type="spellStart"/>
          <w:r w:rsidRPr="001116AA">
            <w:rPr>
              <w:rFonts w:ascii="Arial" w:hAnsi="Arial"/>
              <w:lang w:val="fr-FR"/>
            </w:rPr>
            <w:t>amparados</w:t>
          </w:r>
          <w:proofErr w:type="spellEnd"/>
          <w:r w:rsidRPr="001116AA">
            <w:rPr>
              <w:rFonts w:ascii="Arial" w:hAnsi="Arial"/>
              <w:lang w:val="fr-FR"/>
            </w:rPr>
            <w:t xml:space="preserve"> </w:t>
          </w:r>
          <w:proofErr w:type="spellStart"/>
          <w:r w:rsidRPr="001116AA">
            <w:rPr>
              <w:rFonts w:ascii="Arial" w:hAnsi="Arial"/>
              <w:lang w:val="fr-FR"/>
            </w:rPr>
            <w:t>por</w:t>
          </w:r>
          <w:proofErr w:type="spellEnd"/>
          <w:r w:rsidRPr="001116AA">
            <w:rPr>
              <w:rFonts w:ascii="Arial" w:hAnsi="Arial"/>
              <w:lang w:val="fr-FR"/>
            </w:rPr>
            <w:t xml:space="preserve"> la </w:t>
          </w:r>
          <w:proofErr w:type="spellStart"/>
          <w:r w:rsidRPr="001116AA">
            <w:rPr>
              <w:rFonts w:ascii="Arial" w:hAnsi="Arial"/>
              <w:lang w:val="fr-FR"/>
            </w:rPr>
            <w:t>presunción</w:t>
          </w:r>
          <w:proofErr w:type="spellEnd"/>
          <w:r w:rsidRPr="001116AA">
            <w:rPr>
              <w:rFonts w:ascii="Arial" w:hAnsi="Arial"/>
              <w:lang w:val="fr-FR"/>
            </w:rPr>
            <w:t xml:space="preserve"> de </w:t>
          </w:r>
          <w:proofErr w:type="spellStart"/>
          <w:r w:rsidRPr="001116AA">
            <w:rPr>
              <w:rFonts w:ascii="Arial" w:hAnsi="Arial"/>
              <w:lang w:val="fr-FR"/>
            </w:rPr>
            <w:t>veracidad</w:t>
          </w:r>
          <w:proofErr w:type="spellEnd"/>
          <w:r w:rsidRPr="001116AA">
            <w:rPr>
              <w:rFonts w:ascii="Arial" w:hAnsi="Arial"/>
              <w:lang w:val="fr-FR"/>
            </w:rPr>
            <w:t xml:space="preserve"> (</w:t>
          </w:r>
          <w:proofErr w:type="spellStart"/>
          <w:r w:rsidRPr="001116AA">
            <w:rPr>
              <w:rFonts w:ascii="Arial" w:hAnsi="Arial"/>
              <w:lang w:val="fr-FR"/>
            </w:rPr>
            <w:t>artículo</w:t>
          </w:r>
          <w:proofErr w:type="spellEnd"/>
          <w:r w:rsidRPr="001116AA">
            <w:rPr>
              <w:rFonts w:ascii="Arial" w:hAnsi="Arial"/>
              <w:lang w:val="fr-FR"/>
            </w:rPr>
            <w:t xml:space="preserve"> 77.5 LPAC)”. Una </w:t>
          </w:r>
          <w:proofErr w:type="spellStart"/>
          <w:r w:rsidRPr="001116AA">
            <w:rPr>
              <w:rFonts w:ascii="Arial" w:hAnsi="Arial"/>
              <w:lang w:val="fr-FR"/>
            </w:rPr>
            <w:t>cosa</w:t>
          </w:r>
          <w:proofErr w:type="spellEnd"/>
          <w:r w:rsidRPr="001116AA">
            <w:rPr>
              <w:rFonts w:ascii="Arial" w:hAnsi="Arial"/>
              <w:lang w:val="fr-FR"/>
            </w:rPr>
            <w:t xml:space="preserve"> es </w:t>
          </w:r>
          <w:proofErr w:type="gramStart"/>
          <w:r w:rsidRPr="001116AA">
            <w:rPr>
              <w:rFonts w:ascii="Arial" w:hAnsi="Arial"/>
              <w:lang w:val="fr-FR"/>
            </w:rPr>
            <w:t xml:space="preserve">que </w:t>
          </w:r>
          <w:proofErr w:type="spellStart"/>
          <w:r w:rsidRPr="001116AA">
            <w:rPr>
              <w:rFonts w:ascii="Arial" w:hAnsi="Arial"/>
              <w:lang w:val="fr-FR"/>
            </w:rPr>
            <w:t>el</w:t>
          </w:r>
          <w:proofErr w:type="spellEnd"/>
          <w:proofErr w:type="gramEnd"/>
          <w:r w:rsidRPr="001116AA">
            <w:rPr>
              <w:rFonts w:ascii="Arial" w:hAnsi="Arial"/>
              <w:lang w:val="fr-FR"/>
            </w:rPr>
            <w:t xml:space="preserve"> responsable de la batida “no haya </w:t>
          </w:r>
          <w:proofErr w:type="spellStart"/>
          <w:r w:rsidRPr="001116AA">
            <w:rPr>
              <w:rFonts w:ascii="Arial" w:hAnsi="Arial"/>
              <w:lang w:val="fr-FR"/>
            </w:rPr>
            <w:t>sido</w:t>
          </w:r>
          <w:proofErr w:type="spellEnd"/>
          <w:r w:rsidRPr="001116AA">
            <w:rPr>
              <w:rFonts w:ascii="Arial" w:hAnsi="Arial"/>
              <w:lang w:val="fr-FR"/>
            </w:rPr>
            <w:t xml:space="preserve"> </w:t>
          </w:r>
          <w:proofErr w:type="spellStart"/>
          <w:r w:rsidRPr="001116AA">
            <w:rPr>
              <w:rFonts w:ascii="Arial" w:hAnsi="Arial"/>
              <w:lang w:val="fr-FR"/>
            </w:rPr>
            <w:t>sancionado</w:t>
          </w:r>
          <w:proofErr w:type="spellEnd"/>
          <w:r w:rsidRPr="001116AA">
            <w:rPr>
              <w:rFonts w:ascii="Arial" w:hAnsi="Arial"/>
              <w:lang w:val="fr-FR"/>
            </w:rPr>
            <w:t xml:space="preserve"> </w:t>
          </w:r>
          <w:proofErr w:type="spellStart"/>
          <w:r w:rsidRPr="001116AA">
            <w:rPr>
              <w:rFonts w:ascii="Arial" w:hAnsi="Arial"/>
              <w:lang w:val="fr-FR"/>
            </w:rPr>
            <w:t>por</w:t>
          </w:r>
          <w:proofErr w:type="spellEnd"/>
          <w:r w:rsidRPr="001116AA">
            <w:rPr>
              <w:rFonts w:ascii="Arial" w:hAnsi="Arial"/>
              <w:lang w:val="fr-FR"/>
            </w:rPr>
            <w:t xml:space="preserve"> no </w:t>
          </w:r>
          <w:proofErr w:type="spellStart"/>
          <w:r w:rsidRPr="001116AA">
            <w:rPr>
              <w:rFonts w:ascii="Arial" w:hAnsi="Arial"/>
              <w:lang w:val="fr-FR"/>
            </w:rPr>
            <w:t>haber</w:t>
          </w:r>
          <w:proofErr w:type="spellEnd"/>
          <w:r w:rsidRPr="001116AA">
            <w:rPr>
              <w:rFonts w:ascii="Arial" w:hAnsi="Arial"/>
              <w:lang w:val="fr-FR"/>
            </w:rPr>
            <w:t xml:space="preserve"> </w:t>
          </w:r>
          <w:proofErr w:type="spellStart"/>
          <w:r w:rsidRPr="001116AA">
            <w:rPr>
              <w:rFonts w:ascii="Arial" w:hAnsi="Arial"/>
              <w:lang w:val="fr-FR"/>
            </w:rPr>
            <w:t>quedado</w:t>
          </w:r>
          <w:proofErr w:type="spellEnd"/>
          <w:r w:rsidRPr="001116AA">
            <w:rPr>
              <w:rFonts w:ascii="Arial" w:hAnsi="Arial"/>
              <w:lang w:val="fr-FR"/>
            </w:rPr>
            <w:t xml:space="preserve"> </w:t>
          </w:r>
          <w:proofErr w:type="spellStart"/>
          <w:r w:rsidRPr="001116AA">
            <w:rPr>
              <w:rFonts w:ascii="Arial" w:hAnsi="Arial"/>
              <w:lang w:val="fr-FR"/>
            </w:rPr>
            <w:t>acreditada</w:t>
          </w:r>
          <w:proofErr w:type="spellEnd"/>
          <w:r w:rsidRPr="001116AA">
            <w:rPr>
              <w:rFonts w:ascii="Arial" w:hAnsi="Arial"/>
              <w:lang w:val="fr-FR"/>
            </w:rPr>
            <w:t xml:space="preserve"> su </w:t>
          </w:r>
          <w:proofErr w:type="spellStart"/>
          <w:r w:rsidRPr="001116AA">
            <w:rPr>
              <w:rFonts w:ascii="Arial" w:hAnsi="Arial"/>
              <w:lang w:val="fr-FR"/>
            </w:rPr>
            <w:t>culpabilidad</w:t>
          </w:r>
          <w:proofErr w:type="spellEnd"/>
          <w:r w:rsidRPr="001116AA">
            <w:rPr>
              <w:rFonts w:ascii="Arial" w:hAnsi="Arial"/>
              <w:lang w:val="fr-FR"/>
            </w:rPr>
            <w:t xml:space="preserve"> y </w:t>
          </w:r>
          <w:proofErr w:type="spellStart"/>
          <w:r w:rsidRPr="001116AA">
            <w:rPr>
              <w:rFonts w:ascii="Arial" w:hAnsi="Arial"/>
              <w:lang w:val="fr-FR"/>
            </w:rPr>
            <w:t>otra</w:t>
          </w:r>
          <w:proofErr w:type="spellEnd"/>
          <w:r w:rsidRPr="001116AA">
            <w:rPr>
              <w:rFonts w:ascii="Arial" w:hAnsi="Arial"/>
              <w:lang w:val="fr-FR"/>
            </w:rPr>
            <w:t xml:space="preserve"> bien </w:t>
          </w:r>
          <w:proofErr w:type="spellStart"/>
          <w:r w:rsidRPr="001116AA">
            <w:rPr>
              <w:rFonts w:ascii="Arial" w:hAnsi="Arial"/>
              <w:lang w:val="fr-FR"/>
            </w:rPr>
            <w:t>distinta</w:t>
          </w:r>
          <w:proofErr w:type="spellEnd"/>
          <w:r w:rsidRPr="001116AA">
            <w:rPr>
              <w:rFonts w:ascii="Arial" w:hAnsi="Arial"/>
              <w:lang w:val="fr-FR"/>
            </w:rPr>
            <w:t xml:space="preserve"> que los </w:t>
          </w:r>
          <w:proofErr w:type="spellStart"/>
          <w:r w:rsidRPr="001116AA">
            <w:rPr>
              <w:rFonts w:ascii="Arial" w:hAnsi="Arial"/>
              <w:lang w:val="fr-FR"/>
            </w:rPr>
            <w:t>hechos</w:t>
          </w:r>
          <w:proofErr w:type="spellEnd"/>
          <w:r w:rsidRPr="001116AA">
            <w:rPr>
              <w:rFonts w:ascii="Arial" w:hAnsi="Arial"/>
              <w:lang w:val="fr-FR"/>
            </w:rPr>
            <w:t xml:space="preserve"> </w:t>
          </w:r>
          <w:proofErr w:type="spellStart"/>
          <w:r w:rsidRPr="001116AA">
            <w:rPr>
              <w:rFonts w:ascii="Arial" w:hAnsi="Arial"/>
              <w:lang w:val="fr-FR"/>
            </w:rPr>
            <w:t>consistentes</w:t>
          </w:r>
          <w:proofErr w:type="spellEnd"/>
          <w:r w:rsidRPr="001116AA">
            <w:rPr>
              <w:rFonts w:ascii="Arial" w:hAnsi="Arial"/>
              <w:lang w:val="fr-FR"/>
            </w:rPr>
            <w:t xml:space="preserve"> en la </w:t>
          </w:r>
          <w:proofErr w:type="spellStart"/>
          <w:r w:rsidRPr="001116AA">
            <w:rPr>
              <w:rFonts w:ascii="Arial" w:hAnsi="Arial"/>
              <w:lang w:val="fr-FR"/>
            </w:rPr>
            <w:t>caza</w:t>
          </w:r>
          <w:proofErr w:type="spellEnd"/>
          <w:r w:rsidRPr="001116AA">
            <w:rPr>
              <w:rFonts w:ascii="Arial" w:hAnsi="Arial"/>
              <w:lang w:val="fr-FR"/>
            </w:rPr>
            <w:t xml:space="preserve"> de dos </w:t>
          </w:r>
          <w:proofErr w:type="spellStart"/>
          <w:r w:rsidRPr="001116AA">
            <w:rPr>
              <w:rFonts w:ascii="Arial" w:hAnsi="Arial"/>
              <w:lang w:val="fr-FR"/>
            </w:rPr>
            <w:t>jabalís</w:t>
          </w:r>
          <w:proofErr w:type="spellEnd"/>
          <w:r w:rsidRPr="001116AA">
            <w:rPr>
              <w:rFonts w:ascii="Arial" w:hAnsi="Arial"/>
              <w:lang w:val="fr-FR"/>
            </w:rPr>
            <w:t xml:space="preserve"> que </w:t>
          </w:r>
          <w:proofErr w:type="spellStart"/>
          <w:r w:rsidRPr="001116AA">
            <w:rPr>
              <w:rFonts w:ascii="Arial" w:hAnsi="Arial"/>
              <w:lang w:val="fr-FR"/>
            </w:rPr>
            <w:t>fueron</w:t>
          </w:r>
          <w:proofErr w:type="spellEnd"/>
          <w:r w:rsidRPr="001116AA">
            <w:rPr>
              <w:rFonts w:ascii="Arial" w:hAnsi="Arial"/>
              <w:lang w:val="fr-FR"/>
            </w:rPr>
            <w:t xml:space="preserve"> </w:t>
          </w:r>
          <w:proofErr w:type="spellStart"/>
          <w:r w:rsidRPr="001116AA">
            <w:rPr>
              <w:rFonts w:ascii="Arial" w:hAnsi="Arial"/>
              <w:lang w:val="fr-FR"/>
            </w:rPr>
            <w:t>arrojados</w:t>
          </w:r>
          <w:proofErr w:type="spellEnd"/>
          <w:r w:rsidRPr="001116AA">
            <w:rPr>
              <w:rFonts w:ascii="Arial" w:hAnsi="Arial"/>
              <w:lang w:val="fr-FR"/>
            </w:rPr>
            <w:t xml:space="preserve"> al río y sus </w:t>
          </w:r>
          <w:proofErr w:type="spellStart"/>
          <w:r w:rsidRPr="001116AA">
            <w:rPr>
              <w:rFonts w:ascii="Arial" w:hAnsi="Arial"/>
              <w:lang w:val="fr-FR"/>
            </w:rPr>
            <w:t>cabezas</w:t>
          </w:r>
          <w:proofErr w:type="spellEnd"/>
          <w:r w:rsidRPr="001116AA">
            <w:rPr>
              <w:rFonts w:ascii="Arial" w:hAnsi="Arial"/>
              <w:lang w:val="fr-FR"/>
            </w:rPr>
            <w:t xml:space="preserve"> </w:t>
          </w:r>
          <w:proofErr w:type="spellStart"/>
          <w:r w:rsidRPr="001116AA">
            <w:rPr>
              <w:rFonts w:ascii="Arial" w:hAnsi="Arial"/>
              <w:lang w:val="fr-FR"/>
            </w:rPr>
            <w:t>escondidas</w:t>
          </w:r>
          <w:proofErr w:type="spellEnd"/>
          <w:r w:rsidRPr="001116AA">
            <w:rPr>
              <w:rFonts w:ascii="Arial" w:hAnsi="Arial"/>
              <w:lang w:val="fr-FR"/>
            </w:rPr>
            <w:t xml:space="preserve"> no </w:t>
          </w:r>
          <w:proofErr w:type="spellStart"/>
          <w:r w:rsidRPr="001116AA">
            <w:rPr>
              <w:rFonts w:ascii="Arial" w:hAnsi="Arial"/>
              <w:lang w:val="fr-FR"/>
            </w:rPr>
            <w:t>ocurrieran</w:t>
          </w:r>
          <w:proofErr w:type="spellEnd"/>
          <w:r w:rsidRPr="001116AA">
            <w:rPr>
              <w:rFonts w:ascii="Arial" w:hAnsi="Arial"/>
              <w:lang w:val="fr-FR"/>
            </w:rPr>
            <w:t xml:space="preserve">. Estos </w:t>
          </w:r>
          <w:proofErr w:type="spellStart"/>
          <w:r w:rsidRPr="001116AA">
            <w:rPr>
              <w:rFonts w:ascii="Arial" w:hAnsi="Arial"/>
              <w:lang w:val="fr-FR"/>
            </w:rPr>
            <w:t>hechos</w:t>
          </w:r>
          <w:proofErr w:type="spellEnd"/>
          <w:r w:rsidRPr="001116AA">
            <w:rPr>
              <w:rFonts w:ascii="Arial" w:hAnsi="Arial"/>
              <w:lang w:val="fr-FR"/>
            </w:rPr>
            <w:t xml:space="preserve"> </w:t>
          </w:r>
          <w:proofErr w:type="spellStart"/>
          <w:r w:rsidRPr="001116AA">
            <w:rPr>
              <w:rFonts w:ascii="Arial" w:hAnsi="Arial"/>
              <w:lang w:val="fr-FR"/>
            </w:rPr>
            <w:t>fueron</w:t>
          </w:r>
          <w:proofErr w:type="spellEnd"/>
          <w:r w:rsidRPr="001116AA">
            <w:rPr>
              <w:rFonts w:ascii="Arial" w:hAnsi="Arial"/>
              <w:lang w:val="fr-FR"/>
            </w:rPr>
            <w:t xml:space="preserve"> </w:t>
          </w:r>
          <w:proofErr w:type="spellStart"/>
          <w:r w:rsidRPr="001116AA">
            <w:rPr>
              <w:rFonts w:ascii="Arial" w:hAnsi="Arial"/>
              <w:lang w:val="fr-FR"/>
            </w:rPr>
            <w:t>constatados</w:t>
          </w:r>
          <w:proofErr w:type="spellEnd"/>
          <w:r w:rsidRPr="001116AA">
            <w:rPr>
              <w:rFonts w:ascii="Arial" w:hAnsi="Arial"/>
              <w:lang w:val="fr-FR"/>
            </w:rPr>
            <w:t xml:space="preserve"> </w:t>
          </w:r>
          <w:proofErr w:type="spellStart"/>
          <w:r w:rsidRPr="001116AA">
            <w:rPr>
              <w:rFonts w:ascii="Arial" w:hAnsi="Arial"/>
              <w:lang w:val="fr-FR"/>
            </w:rPr>
            <w:t>por</w:t>
          </w:r>
          <w:proofErr w:type="spellEnd"/>
          <w:r w:rsidRPr="001116AA">
            <w:rPr>
              <w:rFonts w:ascii="Arial" w:hAnsi="Arial"/>
              <w:lang w:val="fr-FR"/>
            </w:rPr>
            <w:t xml:space="preserve"> los agentes </w:t>
          </w:r>
          <w:proofErr w:type="spellStart"/>
          <w:r w:rsidRPr="001116AA">
            <w:rPr>
              <w:rFonts w:ascii="Arial" w:hAnsi="Arial"/>
              <w:lang w:val="fr-FR"/>
            </w:rPr>
            <w:t>forestales</w:t>
          </w:r>
          <w:proofErr w:type="spellEnd"/>
          <w:r w:rsidRPr="001116AA">
            <w:rPr>
              <w:rFonts w:ascii="Arial" w:hAnsi="Arial"/>
              <w:lang w:val="fr-FR"/>
            </w:rPr>
            <w:t>” y “</w:t>
          </w:r>
          <w:proofErr w:type="spellStart"/>
          <w:r w:rsidRPr="001116AA">
            <w:rPr>
              <w:rFonts w:ascii="Arial" w:hAnsi="Arial"/>
              <w:lang w:val="fr-FR"/>
            </w:rPr>
            <w:t>por</w:t>
          </w:r>
          <w:proofErr w:type="spellEnd"/>
          <w:r w:rsidRPr="001116AA">
            <w:rPr>
              <w:rFonts w:ascii="Arial" w:hAnsi="Arial"/>
              <w:lang w:val="fr-FR"/>
            </w:rPr>
            <w:t xml:space="preserve"> </w:t>
          </w:r>
          <w:proofErr w:type="spellStart"/>
          <w:r w:rsidRPr="001116AA">
            <w:rPr>
              <w:rFonts w:ascii="Arial" w:hAnsi="Arial"/>
              <w:lang w:val="fr-FR"/>
            </w:rPr>
            <w:t>ello</w:t>
          </w:r>
          <w:proofErr w:type="spellEnd"/>
          <w:r w:rsidRPr="001116AA">
            <w:rPr>
              <w:rFonts w:ascii="Arial" w:hAnsi="Arial"/>
              <w:lang w:val="fr-FR"/>
            </w:rPr>
            <w:t xml:space="preserve"> ha de </w:t>
          </w:r>
          <w:proofErr w:type="spellStart"/>
          <w:r w:rsidRPr="001116AA">
            <w:rPr>
              <w:rFonts w:ascii="Arial" w:hAnsi="Arial"/>
              <w:lang w:val="fr-FR"/>
            </w:rPr>
            <w:t>tenerse</w:t>
          </w:r>
          <w:proofErr w:type="spellEnd"/>
          <w:r w:rsidRPr="001116AA">
            <w:rPr>
              <w:rFonts w:ascii="Arial" w:hAnsi="Arial"/>
              <w:lang w:val="fr-FR"/>
            </w:rPr>
            <w:t xml:space="preserve"> </w:t>
          </w:r>
          <w:proofErr w:type="spellStart"/>
          <w:r w:rsidRPr="001116AA">
            <w:rPr>
              <w:rFonts w:ascii="Arial" w:hAnsi="Arial"/>
              <w:lang w:val="fr-FR"/>
            </w:rPr>
            <w:t>por</w:t>
          </w:r>
          <w:proofErr w:type="spellEnd"/>
          <w:r w:rsidRPr="001116AA">
            <w:rPr>
              <w:rFonts w:ascii="Arial" w:hAnsi="Arial"/>
              <w:lang w:val="fr-FR"/>
            </w:rPr>
            <w:t xml:space="preserve"> </w:t>
          </w:r>
          <w:proofErr w:type="spellStart"/>
          <w:r w:rsidRPr="001116AA">
            <w:rPr>
              <w:rFonts w:ascii="Arial" w:hAnsi="Arial"/>
              <w:lang w:val="fr-FR"/>
            </w:rPr>
            <w:t>probado</w:t>
          </w:r>
          <w:proofErr w:type="spellEnd"/>
          <w:r w:rsidRPr="001116AA">
            <w:rPr>
              <w:rFonts w:ascii="Arial" w:hAnsi="Arial"/>
              <w:lang w:val="fr-FR"/>
            </w:rPr>
            <w:t xml:space="preserve">, en el </w:t>
          </w:r>
          <w:proofErr w:type="spellStart"/>
          <w:r w:rsidRPr="001116AA">
            <w:rPr>
              <w:rFonts w:ascii="Arial" w:hAnsi="Arial"/>
              <w:lang w:val="fr-FR"/>
            </w:rPr>
            <w:t>presente</w:t>
          </w:r>
          <w:proofErr w:type="spellEnd"/>
          <w:r w:rsidRPr="001116AA">
            <w:rPr>
              <w:rFonts w:ascii="Arial" w:hAnsi="Arial"/>
              <w:lang w:val="fr-FR"/>
            </w:rPr>
            <w:t xml:space="preserve"> </w:t>
          </w:r>
          <w:proofErr w:type="spellStart"/>
          <w:r w:rsidRPr="001116AA">
            <w:rPr>
              <w:rFonts w:ascii="Arial" w:hAnsi="Arial"/>
              <w:lang w:val="fr-FR"/>
            </w:rPr>
            <w:t>recurso</w:t>
          </w:r>
          <w:proofErr w:type="spellEnd"/>
          <w:r w:rsidRPr="001116AA">
            <w:rPr>
              <w:rFonts w:ascii="Arial" w:hAnsi="Arial"/>
              <w:lang w:val="fr-FR"/>
            </w:rPr>
            <w:t xml:space="preserve">, que se </w:t>
          </w:r>
          <w:proofErr w:type="spellStart"/>
          <w:r w:rsidRPr="001116AA">
            <w:rPr>
              <w:rFonts w:ascii="Arial" w:hAnsi="Arial"/>
              <w:lang w:val="fr-FR"/>
            </w:rPr>
            <w:t>abatieron</w:t>
          </w:r>
          <w:proofErr w:type="spellEnd"/>
          <w:r w:rsidRPr="001116AA">
            <w:rPr>
              <w:rFonts w:ascii="Arial" w:hAnsi="Arial"/>
              <w:lang w:val="fr-FR"/>
            </w:rPr>
            <w:t xml:space="preserve"> 8 </w:t>
          </w:r>
          <w:proofErr w:type="spellStart"/>
          <w:r w:rsidRPr="001116AA">
            <w:rPr>
              <w:rFonts w:ascii="Arial" w:hAnsi="Arial"/>
              <w:lang w:val="fr-FR"/>
            </w:rPr>
            <w:t>jabalís</w:t>
          </w:r>
          <w:proofErr w:type="spellEnd"/>
          <w:r w:rsidRPr="001116AA">
            <w:rPr>
              <w:rFonts w:ascii="Arial" w:hAnsi="Arial"/>
              <w:lang w:val="fr-FR"/>
            </w:rPr>
            <w:t xml:space="preserve"> en </w:t>
          </w:r>
          <w:proofErr w:type="spellStart"/>
          <w:r w:rsidRPr="001116AA">
            <w:rPr>
              <w:rFonts w:ascii="Arial" w:hAnsi="Arial"/>
              <w:lang w:val="fr-FR"/>
            </w:rPr>
            <w:t>exceso</w:t>
          </w:r>
          <w:proofErr w:type="spellEnd"/>
          <w:r w:rsidRPr="001116AA">
            <w:rPr>
              <w:rFonts w:ascii="Arial" w:hAnsi="Arial"/>
              <w:lang w:val="fr-FR"/>
            </w:rPr>
            <w:t>”.</w:t>
          </w:r>
        </w:p>
      </w:sdtContent>
    </w:sdt>
    <w:p w14:paraId="33B3DF2C" w14:textId="2101C30F" w:rsidR="00BC14E3" w:rsidRPr="007D620D" w:rsidRDefault="004635A5" w:rsidP="00BC14E3">
      <w:pPr>
        <w:pStyle w:val="Ttulo1"/>
        <w:rPr>
          <w:rFonts w:ascii="Arial" w:hAnsi="Arial"/>
          <w:lang w:val="es-ES"/>
        </w:rPr>
      </w:pPr>
      <w:r w:rsidRPr="007D620D">
        <w:rPr>
          <w:rFonts w:ascii="Arial" w:hAnsi="Arial"/>
          <w:lang w:val="es-ES"/>
        </w:rPr>
        <w:lastRenderedPageBreak/>
        <w:t>3</w:t>
      </w:r>
      <w:r w:rsidR="00BC14E3" w:rsidRPr="007D620D">
        <w:rPr>
          <w:rFonts w:ascii="Arial" w:hAnsi="Arial"/>
          <w:lang w:val="es-ES"/>
        </w:rPr>
        <w:t xml:space="preserve">. </w:t>
      </w:r>
      <w:r w:rsidRPr="007D620D">
        <w:rPr>
          <w:rFonts w:ascii="Arial" w:hAnsi="Arial"/>
          <w:lang w:val="es-ES"/>
        </w:rPr>
        <w:t>MONTES</w:t>
      </w:r>
    </w:p>
    <w:p w14:paraId="4746269A" w14:textId="38109A40" w:rsidR="007D620D" w:rsidRPr="007D620D" w:rsidRDefault="007D620D" w:rsidP="007D620D">
      <w:pPr>
        <w:pStyle w:val="Ttulo2"/>
        <w:rPr>
          <w:lang w:val="es-ES"/>
        </w:rPr>
      </w:pPr>
      <w:r w:rsidRPr="004635A5">
        <w:rPr>
          <w:lang w:val="es-ES"/>
        </w:rPr>
        <w:t>3.1. Aprovechamientos cinegéticos en montes de utilidad pública</w:t>
      </w:r>
    </w:p>
    <w:p w14:paraId="6B60F42A" w14:textId="6BEFD098" w:rsidR="007D620D" w:rsidRPr="004D5EA3" w:rsidRDefault="007D620D" w:rsidP="007D620D">
      <w:pPr>
        <w:rPr>
          <w:rFonts w:ascii="Arial" w:hAnsi="Arial"/>
          <w:lang w:val="es-ES"/>
        </w:rPr>
      </w:pPr>
      <w:r w:rsidRPr="007D620D">
        <w:rPr>
          <w:rFonts w:ascii="Arial" w:hAnsi="Arial"/>
          <w:lang w:val="es-ES"/>
        </w:rPr>
        <w:t>El Tribunal ha dictado otras tres sentencias centradas en cuestiones relativas a la aplicación de la normativa que se contiene en la Ley estatal 43/2003, de 21 de noviembre, de montes (LM), así como, aún sin adaptarse a las reformas que aquella norma básica ha venido experimentando, en la Ley 2/1995, de 10 de</w:t>
      </w:r>
      <w:r w:rsidR="004D5EA3">
        <w:rPr>
          <w:rFonts w:ascii="Arial" w:hAnsi="Arial"/>
          <w:lang w:val="es-ES"/>
        </w:rPr>
        <w:t xml:space="preserve"> </w:t>
      </w:r>
      <w:r w:rsidR="004D5EA3" w:rsidRPr="004D5EA3">
        <w:rPr>
          <w:rFonts w:ascii="Arial" w:hAnsi="Arial"/>
          <w:lang w:val="es-ES"/>
        </w:rPr>
        <w:t>febrero, de protección y desarrollo del patrimonio forestal de La Rioja y en su Reglamento de desarrollo, aprobado por Decreto 114/2003, de 30 de octubre. Todas ellas, por cierto, estiman los respectivos recursos que se interpusieron contra un acto administrativo, contra un reglamento e, incluso, contra la inactividad de la Administración.</w:t>
      </w:r>
    </w:p>
    <w:p w14:paraId="72A44771" w14:textId="1EE92377" w:rsidR="007D620D" w:rsidRDefault="005A2DDC" w:rsidP="007D620D">
      <w:pPr>
        <w:rPr>
          <w:rFonts w:ascii="Arial" w:hAnsi="Arial"/>
          <w:lang w:val="es-ES"/>
        </w:rPr>
      </w:pPr>
      <w:r w:rsidRPr="005A2DDC">
        <w:rPr>
          <w:rFonts w:ascii="Arial" w:hAnsi="Arial"/>
          <w:lang w:val="es-ES"/>
        </w:rPr>
        <w:t xml:space="preserve">Empezando por esto último, y sin abandonar del todo el mundo de la caza, la Sentencia del Tribunal Superior de Justicia de La Rioja de 10 de marzo de 2022 (ponente Crespo </w:t>
      </w:r>
      <w:proofErr w:type="spellStart"/>
      <w:r w:rsidRPr="005A2DDC">
        <w:rPr>
          <w:rFonts w:ascii="Arial" w:hAnsi="Arial"/>
          <w:lang w:val="es-ES"/>
        </w:rPr>
        <w:t>Herce</w:t>
      </w:r>
      <w:proofErr w:type="spellEnd"/>
      <w:r w:rsidRPr="005A2DDC">
        <w:rPr>
          <w:rFonts w:ascii="Arial" w:hAnsi="Arial"/>
          <w:lang w:val="es-ES"/>
        </w:rPr>
        <w:t xml:space="preserve">), declara “no ajustada a derecho la falta de expedición por parte de la administración competente de las licencias solicitadas, en plazo previo al inicio de la primera montería”. Por resumir los antecedentes, bastará saber que una Mancomunidad formada por tres pequeños municipios es titular de un coto sobre cuya gestión se vislumbran, como trasfondo, desavenencias internas entre los Ayuntamientos. En todo caso, el particular recurrente había obtenido de la Mancomunidad la adjudicación de aprovechamientos cinegéticos para la temporada de caza 2019–2020 conforme a un calendario que abarcaría diez batidas mixtas de ciervo y jabalí a efectuar entre octubre de 2019 y febrero de 2020. Días antes de la primera batida, solicitó de la Dirección General de Biodiversidad las “licencias de disfrute” que para los aprovechamientos forestales en montes de utilidad pública de titularidad local exige el artículo 85 del Decreto 114/2003. En concreto, este precepto establece que “[N]o se podrá comenzar la ejecución de un aprovechamiento sin haberse expedido la correspondiente licencia de disfrute por el Director General competente en materia de medio natural debiendo cumplirse los requisitos siguientes: … b) En los aprovechamientos adjudicados por la entidad propietaria, el adjudicatario dentro del plazo de veinte días siguientes a la adjudicación definitiva debe acreditar el pago del </w:t>
      </w:r>
      <w:r w:rsidRPr="005A2DDC">
        <w:rPr>
          <w:rFonts w:ascii="Arial" w:hAnsi="Arial"/>
          <w:lang w:val="es-ES"/>
        </w:rPr>
        <w:lastRenderedPageBreak/>
        <w:t>porcentaje destinado al Fondo de Mejoras y de la liquidación de tasas correspondiente y debe presentar comprobantes de haber cumplimentado las condiciones económicas fijadas por la entidad propietaria”.</w:t>
      </w:r>
    </w:p>
    <w:p w14:paraId="71023C8E" w14:textId="5245951A" w:rsidR="005A2DDC" w:rsidRDefault="005A2DDC" w:rsidP="007D620D">
      <w:pPr>
        <w:rPr>
          <w:rFonts w:ascii="Arial" w:hAnsi="Arial"/>
          <w:lang w:val="es-ES"/>
        </w:rPr>
      </w:pPr>
      <w:r w:rsidRPr="005A2DDC">
        <w:rPr>
          <w:rFonts w:ascii="Arial" w:hAnsi="Arial"/>
          <w:lang w:val="es-ES"/>
        </w:rPr>
        <w:t>La Sala constata que el recurrente había cumplido esos requisitos y que, pese a ello, no recibió a tiempo las licencias que volvió a requerir de la Dirección General diez días después. En realidad, durante ese tiempo la Administración había llevado a cabo actos de instrucción orientados a la petición de informes</w:t>
      </w:r>
      <w:r>
        <w:rPr>
          <w:rFonts w:ascii="Arial" w:hAnsi="Arial"/>
          <w:lang w:val="es-ES"/>
        </w:rPr>
        <w:t xml:space="preserve"> </w:t>
      </w:r>
      <w:r w:rsidRPr="005A2DDC">
        <w:rPr>
          <w:rFonts w:ascii="Arial" w:hAnsi="Arial"/>
          <w:lang w:val="es-ES"/>
        </w:rPr>
        <w:t>para esclarecer las actuaciones de la Mancomunidad. Pero, como no recibía notificación de la resolución, el interesado interpone recurso contencioso-administrativo alegando que “la falta de respuesta por parte de la administración competente incurre en inactividad de la administración descrita en el art. 29 de la LJCA”. Ya en el seno del proceso judicial, obtiene Auto de medidas cautelares previas que obliga a la Administración a expedir las licencias solicitadas y ésta, en efecto, las expide a mediados de noviembre.</w:t>
      </w:r>
    </w:p>
    <w:p w14:paraId="014851C3" w14:textId="77777777" w:rsidR="009D0F1F" w:rsidRPr="009D0F1F" w:rsidRDefault="009D0F1F" w:rsidP="009D0F1F">
      <w:pPr>
        <w:rPr>
          <w:rFonts w:ascii="Arial" w:hAnsi="Arial"/>
          <w:lang w:val="es-ES"/>
        </w:rPr>
      </w:pPr>
      <w:r w:rsidRPr="009D0F1F">
        <w:rPr>
          <w:rFonts w:ascii="Arial" w:hAnsi="Arial"/>
          <w:lang w:val="es-ES"/>
        </w:rPr>
        <w:t>Pues bien, por encima de otras consideraciones –como la posible pérdida del objeto del recurso, que la demandada alega pero la Sala descarta–, lo decisivo en cuanto al fondo radica en que “no se analiza en el presente procedimiento, ni el Acuerdo en el que se aprueban los pliegos para la enajenación de procedimiento abierto de los aprovechamientos de las diez monterías ni la adjudicación de los mismos; nos encontramos ante actos firmes, no impugnados ante esta jurisdicción, por lo que no son objeto de análisis del presente procedimiento”. Así, “la cuestión de este recurso ha de centrarse en verificar si concurren las circunstancias previstas en el artículo 29 de la LJCA”. A este respecto, la demandada aduce que “para hablar de inactividad a los efectos del artículo 29.1 de la LJCA, la Ley se refiere a prestaciones concretas y no toda falta de respuesta satisfactoria de las pretensiones de un interesado en un escrito”. Frente a ello, la Sala replica que “los escritos dirigidos por” el particular interesado a la Administración “contienen la solicitud de una prestación concreta amparada en la resolución de adjudicación, tras un procedimiento administrativo que no fue objeto de recurso”.</w:t>
      </w:r>
    </w:p>
    <w:p w14:paraId="36E70F04" w14:textId="4C82AB58" w:rsidR="00CB22ED" w:rsidRPr="00CB22ED" w:rsidRDefault="009D0F1F" w:rsidP="00CB22ED">
      <w:pPr>
        <w:rPr>
          <w:rFonts w:ascii="Arial" w:hAnsi="Arial"/>
          <w:lang w:val="es-ES"/>
        </w:rPr>
      </w:pPr>
      <w:r w:rsidRPr="009D0F1F">
        <w:rPr>
          <w:rFonts w:ascii="Arial" w:hAnsi="Arial"/>
          <w:lang w:val="es-ES"/>
        </w:rPr>
        <w:t xml:space="preserve">Cabría esperar aquí apoyatura jurisprudencial o dogmática sobre el alcance material de las prestaciones que pueden ser objeto del recurso contencioso-administrativo contra la inactividad de la Administración. Pero la argumentación </w:t>
      </w:r>
      <w:r w:rsidRPr="009D0F1F">
        <w:rPr>
          <w:rFonts w:ascii="Arial" w:hAnsi="Arial"/>
          <w:lang w:val="es-ES"/>
        </w:rPr>
        <w:lastRenderedPageBreak/>
        <w:t>judicial se basa en que “a la vista de realidad fáctica expuesta”, la Administración “debió expedir dichas licencias para que pudiera llevarse a cabo la actividad, esto es, antes de la fecha en que comenzaba la primera montería”. Esto puede suponer dejar en manos de las personas solicitantes la determinación del plazo máximo para el cumplimiento de la obligación de resolver estos procedimientos administrativos.</w:t>
      </w:r>
      <w:r>
        <w:rPr>
          <w:rFonts w:ascii="Arial" w:hAnsi="Arial"/>
          <w:lang w:val="es-ES"/>
        </w:rPr>
        <w:t xml:space="preserve"> </w:t>
      </w:r>
      <w:r w:rsidRPr="009D0F1F">
        <w:rPr>
          <w:rFonts w:ascii="Arial" w:hAnsi="Arial"/>
          <w:lang w:val="es-ES"/>
        </w:rPr>
        <w:t>Pero el caso es que, para la Sala, “la falta de expedición de dichas licencias en el plazo oportuno” (e insiste,</w:t>
      </w:r>
      <w:r w:rsidR="00CB22ED" w:rsidRPr="00CB22ED">
        <w:rPr>
          <w:lang w:val="es-ES"/>
        </w:rPr>
        <w:t xml:space="preserve"> </w:t>
      </w:r>
      <w:r w:rsidR="00CB22ED" w:rsidRPr="00CB22ED">
        <w:rPr>
          <w:rFonts w:ascii="Arial" w:hAnsi="Arial"/>
          <w:lang w:val="es-ES"/>
        </w:rPr>
        <w:t>“antes del comienzo de la primera montería”), “en la vía administrativa, resulta disconforme a derecho”.</w:t>
      </w:r>
    </w:p>
    <w:p w14:paraId="76502798" w14:textId="00091D34" w:rsidR="00BC14E3" w:rsidRPr="00CB22ED" w:rsidRDefault="00CB22ED" w:rsidP="00CB22ED">
      <w:pPr>
        <w:rPr>
          <w:rFonts w:ascii="Arial" w:hAnsi="Arial"/>
          <w:lang w:val="es-ES"/>
        </w:rPr>
      </w:pPr>
      <w:r w:rsidRPr="00CB22ED">
        <w:rPr>
          <w:rFonts w:ascii="Arial" w:hAnsi="Arial"/>
          <w:lang w:val="es-ES"/>
        </w:rPr>
        <w:t xml:space="preserve">Dicho esto, que se lleva al fallo, aún cree necesario agregar que “el recurrente se vio forzado a solicitar medidas </w:t>
      </w:r>
      <w:proofErr w:type="spellStart"/>
      <w:r w:rsidRPr="00CB22ED">
        <w:rPr>
          <w:rFonts w:ascii="Arial" w:hAnsi="Arial"/>
          <w:lang w:val="es-ES"/>
        </w:rPr>
        <w:t>cautelarísimas</w:t>
      </w:r>
      <w:proofErr w:type="spellEnd"/>
      <w:r w:rsidRPr="00CB22ED">
        <w:rPr>
          <w:rFonts w:ascii="Arial" w:hAnsi="Arial"/>
          <w:lang w:val="es-ES"/>
        </w:rPr>
        <w:t xml:space="preserve"> para poder ejercer el derecho que le había sido concedido, ello provocó la consecución (sic) del presente recurso contencioso-administrativo, al que no habría tenido necesidad de acudir si la administración hubiera actuado en plazo conforme a lo establecido”. Argumento final éste de doble filo pues lo mismo habría servido para un supuesto, no ya de inactividad, sino de silencio administrativo negativo que, por cierto, en el procedimiento a quo no parece que hubiera llegado a producirse. Dicho </w:t>
      </w:r>
      <w:proofErr w:type="gramStart"/>
      <w:r w:rsidRPr="00CB22ED">
        <w:rPr>
          <w:rFonts w:ascii="Arial" w:hAnsi="Arial"/>
          <w:lang w:val="es-ES"/>
        </w:rPr>
        <w:t>sea</w:t>
      </w:r>
      <w:proofErr w:type="gramEnd"/>
      <w:r w:rsidRPr="00CB22ED">
        <w:rPr>
          <w:rFonts w:ascii="Arial" w:hAnsi="Arial"/>
          <w:lang w:val="es-ES"/>
        </w:rPr>
        <w:t xml:space="preserve"> sin dejar de observar que, más allá del caso concreto, la concatenación de las previsiones contempladas por separado en las normativas de caza y de montes merecería, tal vez, una reconsideración del régimen de esas “licencias de disfrute” que todavía regula el Decreto 114/2003</w:t>
      </w:r>
      <w:r>
        <w:rPr>
          <w:rFonts w:ascii="Arial" w:hAnsi="Arial"/>
          <w:lang w:val="es-ES"/>
        </w:rPr>
        <w:t>.</w:t>
      </w:r>
    </w:p>
    <w:p w14:paraId="4789D54D" w14:textId="108C77D2" w:rsidR="004635A5" w:rsidRDefault="004635A5" w:rsidP="004635A5">
      <w:pPr>
        <w:pStyle w:val="Ttulo2"/>
      </w:pPr>
      <w:r w:rsidRPr="004635A5">
        <w:rPr>
          <w:lang w:val="es-ES"/>
        </w:rPr>
        <w:t>3.</w:t>
      </w:r>
      <w:r>
        <w:rPr>
          <w:lang w:val="es-ES"/>
        </w:rPr>
        <w:t>2</w:t>
      </w:r>
      <w:r w:rsidRPr="004635A5">
        <w:rPr>
          <w:lang w:val="es-ES"/>
        </w:rPr>
        <w:t xml:space="preserve">. </w:t>
      </w:r>
      <w:r w:rsidRPr="002D7147">
        <w:t xml:space="preserve">Pistas </w:t>
      </w:r>
      <w:proofErr w:type="spellStart"/>
      <w:r w:rsidRPr="002D7147">
        <w:t>forestales</w:t>
      </w:r>
      <w:proofErr w:type="spellEnd"/>
    </w:p>
    <w:p w14:paraId="77DD70A7" w14:textId="39579022" w:rsidR="00BF632C" w:rsidRPr="00BF632C" w:rsidRDefault="00BF632C" w:rsidP="00BF632C">
      <w:pPr>
        <w:rPr>
          <w:rFonts w:ascii="Arial" w:hAnsi="Arial" w:cs="Arial"/>
          <w:lang w:val="es-ES" w:eastAsia="ja-JP"/>
        </w:rPr>
      </w:pPr>
      <w:r w:rsidRPr="00BF632C">
        <w:rPr>
          <w:rFonts w:ascii="Arial" w:hAnsi="Arial" w:cs="Arial"/>
          <w:lang w:val="es-ES" w:eastAsia="ja-JP"/>
        </w:rPr>
        <w:t>a) Acceso motorizado para aprovechamientos micológicos</w:t>
      </w:r>
    </w:p>
    <w:sdt>
      <w:sdtPr>
        <w:rPr>
          <w:rFonts w:ascii="Arial" w:hAnsi="Arial"/>
          <w:lang w:val="fr-FR"/>
        </w:rPr>
        <w:id w:val="-1009215820"/>
        <w:placeholder>
          <w:docPart w:val="C2AB89F92829499F80A6C7FEB328248B"/>
        </w:placeholder>
      </w:sdtPr>
      <w:sdtContent>
        <w:p w14:paraId="63C7830A" w14:textId="77777777" w:rsidR="00BF632C" w:rsidRDefault="00BF632C" w:rsidP="004635A5">
          <w:pPr>
            <w:rPr>
              <w:rFonts w:ascii="Arial" w:hAnsi="Arial"/>
              <w:lang w:val="fr-FR"/>
            </w:rPr>
          </w:pPr>
          <w:r w:rsidRPr="00BF632C">
            <w:rPr>
              <w:rFonts w:ascii="Arial" w:hAnsi="Arial"/>
              <w:lang w:val="fr-FR"/>
            </w:rPr>
            <w:t xml:space="preserve">En el </w:t>
          </w:r>
          <w:proofErr w:type="spellStart"/>
          <w:r w:rsidRPr="00BF632C">
            <w:rPr>
              <w:rFonts w:ascii="Arial" w:hAnsi="Arial"/>
              <w:lang w:val="fr-FR"/>
            </w:rPr>
            <w:t>caso</w:t>
          </w:r>
          <w:proofErr w:type="spellEnd"/>
          <w:r w:rsidRPr="00BF632C">
            <w:rPr>
              <w:rFonts w:ascii="Arial" w:hAnsi="Arial"/>
              <w:lang w:val="fr-FR"/>
            </w:rPr>
            <w:t xml:space="preserve"> de la Sentencia </w:t>
          </w:r>
          <w:proofErr w:type="spellStart"/>
          <w:r w:rsidRPr="00BF632C">
            <w:rPr>
              <w:rFonts w:ascii="Arial" w:hAnsi="Arial"/>
              <w:lang w:val="fr-FR"/>
            </w:rPr>
            <w:t>del</w:t>
          </w:r>
          <w:proofErr w:type="spellEnd"/>
          <w:r w:rsidRPr="00BF632C">
            <w:rPr>
              <w:rFonts w:ascii="Arial" w:hAnsi="Arial"/>
              <w:lang w:val="fr-FR"/>
            </w:rPr>
            <w:t xml:space="preserve"> Tribunal Superior de </w:t>
          </w:r>
          <w:proofErr w:type="spellStart"/>
          <w:r w:rsidRPr="00BF632C">
            <w:rPr>
              <w:rFonts w:ascii="Arial" w:hAnsi="Arial"/>
              <w:lang w:val="fr-FR"/>
            </w:rPr>
            <w:t>Justicia</w:t>
          </w:r>
          <w:proofErr w:type="spellEnd"/>
          <w:r w:rsidRPr="00BF632C">
            <w:rPr>
              <w:rFonts w:ascii="Arial" w:hAnsi="Arial"/>
              <w:lang w:val="fr-FR"/>
            </w:rPr>
            <w:t xml:space="preserve"> de La Rioja de 28 de </w:t>
          </w:r>
          <w:proofErr w:type="spellStart"/>
          <w:r w:rsidRPr="00BF632C">
            <w:rPr>
              <w:rFonts w:ascii="Arial" w:hAnsi="Arial"/>
              <w:lang w:val="fr-FR"/>
            </w:rPr>
            <w:t>diciembre</w:t>
          </w:r>
          <w:proofErr w:type="spellEnd"/>
          <w:r w:rsidRPr="00BF632C">
            <w:rPr>
              <w:rFonts w:ascii="Arial" w:hAnsi="Arial"/>
              <w:lang w:val="fr-FR"/>
            </w:rPr>
            <w:t xml:space="preserve"> de 2021 (</w:t>
          </w:r>
          <w:proofErr w:type="spellStart"/>
          <w:r w:rsidRPr="00BF632C">
            <w:rPr>
              <w:rFonts w:ascii="Arial" w:hAnsi="Arial"/>
              <w:lang w:val="fr-FR"/>
            </w:rPr>
            <w:t>ponente</w:t>
          </w:r>
          <w:proofErr w:type="spellEnd"/>
          <w:r w:rsidRPr="00BF632C">
            <w:rPr>
              <w:rFonts w:ascii="Arial" w:hAnsi="Arial"/>
              <w:lang w:val="fr-FR"/>
            </w:rPr>
            <w:t xml:space="preserve"> </w:t>
          </w:r>
          <w:proofErr w:type="spellStart"/>
          <w:r w:rsidRPr="00BF632C">
            <w:rPr>
              <w:rFonts w:ascii="Arial" w:hAnsi="Arial"/>
              <w:lang w:val="fr-FR"/>
            </w:rPr>
            <w:t>Escanilla</w:t>
          </w:r>
          <w:proofErr w:type="spellEnd"/>
          <w:r w:rsidRPr="00BF632C">
            <w:rPr>
              <w:rFonts w:ascii="Arial" w:hAnsi="Arial"/>
              <w:lang w:val="fr-FR"/>
            </w:rPr>
            <w:t xml:space="preserve"> </w:t>
          </w:r>
          <w:proofErr w:type="spellStart"/>
          <w:r w:rsidRPr="00BF632C">
            <w:rPr>
              <w:rFonts w:ascii="Arial" w:hAnsi="Arial"/>
              <w:lang w:val="fr-FR"/>
            </w:rPr>
            <w:t>Pallás</w:t>
          </w:r>
          <w:proofErr w:type="spellEnd"/>
          <w:r w:rsidRPr="00BF632C">
            <w:rPr>
              <w:rFonts w:ascii="Arial" w:hAnsi="Arial"/>
              <w:lang w:val="fr-FR"/>
            </w:rPr>
            <w:t xml:space="preserve">), el </w:t>
          </w:r>
          <w:proofErr w:type="spellStart"/>
          <w:r w:rsidRPr="00BF632C">
            <w:rPr>
              <w:rFonts w:ascii="Arial" w:hAnsi="Arial"/>
              <w:lang w:val="fr-FR"/>
            </w:rPr>
            <w:t>debate</w:t>
          </w:r>
          <w:proofErr w:type="spellEnd"/>
          <w:r w:rsidRPr="00BF632C">
            <w:rPr>
              <w:rFonts w:ascii="Arial" w:hAnsi="Arial"/>
              <w:lang w:val="fr-FR"/>
            </w:rPr>
            <w:t xml:space="preserve"> gira en </w:t>
          </w:r>
          <w:proofErr w:type="spellStart"/>
          <w:r w:rsidRPr="00BF632C">
            <w:rPr>
              <w:rFonts w:ascii="Arial" w:hAnsi="Arial"/>
              <w:lang w:val="fr-FR"/>
            </w:rPr>
            <w:t>torno</w:t>
          </w:r>
          <w:proofErr w:type="spellEnd"/>
          <w:r w:rsidRPr="00BF632C">
            <w:rPr>
              <w:rFonts w:ascii="Arial" w:hAnsi="Arial"/>
              <w:lang w:val="fr-FR"/>
            </w:rPr>
            <w:t xml:space="preserve"> al </w:t>
          </w:r>
          <w:proofErr w:type="spellStart"/>
          <w:r w:rsidRPr="00BF632C">
            <w:rPr>
              <w:rFonts w:ascii="Arial" w:hAnsi="Arial"/>
              <w:lang w:val="fr-FR"/>
            </w:rPr>
            <w:t>régimen</w:t>
          </w:r>
          <w:proofErr w:type="spellEnd"/>
          <w:r w:rsidRPr="00BF632C">
            <w:rPr>
              <w:rFonts w:ascii="Arial" w:hAnsi="Arial"/>
              <w:lang w:val="fr-FR"/>
            </w:rPr>
            <w:t xml:space="preserve"> de </w:t>
          </w:r>
          <w:proofErr w:type="spellStart"/>
          <w:r w:rsidRPr="00BF632C">
            <w:rPr>
              <w:rFonts w:ascii="Arial" w:hAnsi="Arial"/>
              <w:lang w:val="fr-FR"/>
            </w:rPr>
            <w:t>autorización</w:t>
          </w:r>
          <w:proofErr w:type="spellEnd"/>
          <w:r w:rsidRPr="00BF632C">
            <w:rPr>
              <w:rFonts w:ascii="Arial" w:hAnsi="Arial"/>
              <w:lang w:val="fr-FR"/>
            </w:rPr>
            <w:t xml:space="preserve"> para </w:t>
          </w:r>
          <w:proofErr w:type="spellStart"/>
          <w:r w:rsidRPr="00BF632C">
            <w:rPr>
              <w:rFonts w:ascii="Arial" w:hAnsi="Arial"/>
              <w:lang w:val="fr-FR"/>
            </w:rPr>
            <w:t>transitar</w:t>
          </w:r>
          <w:proofErr w:type="spellEnd"/>
          <w:r w:rsidRPr="00BF632C">
            <w:rPr>
              <w:rFonts w:ascii="Arial" w:hAnsi="Arial"/>
              <w:lang w:val="fr-FR"/>
            </w:rPr>
            <w:t xml:space="preserve"> </w:t>
          </w:r>
          <w:proofErr w:type="spellStart"/>
          <w:r w:rsidRPr="00BF632C">
            <w:rPr>
              <w:rFonts w:ascii="Arial" w:hAnsi="Arial"/>
              <w:lang w:val="fr-FR"/>
            </w:rPr>
            <w:t>por</w:t>
          </w:r>
          <w:proofErr w:type="spellEnd"/>
          <w:r w:rsidRPr="00BF632C">
            <w:rPr>
              <w:rFonts w:ascii="Arial" w:hAnsi="Arial"/>
              <w:lang w:val="fr-FR"/>
            </w:rPr>
            <w:t xml:space="preserve"> pistas </w:t>
          </w:r>
          <w:proofErr w:type="spellStart"/>
          <w:r w:rsidRPr="00BF632C">
            <w:rPr>
              <w:rFonts w:ascii="Arial" w:hAnsi="Arial"/>
              <w:lang w:val="fr-FR"/>
            </w:rPr>
            <w:t>forestales</w:t>
          </w:r>
          <w:proofErr w:type="spellEnd"/>
          <w:r w:rsidRPr="00BF632C">
            <w:rPr>
              <w:rFonts w:ascii="Arial" w:hAnsi="Arial"/>
              <w:lang w:val="fr-FR"/>
            </w:rPr>
            <w:t xml:space="preserve"> con </w:t>
          </w:r>
          <w:proofErr w:type="spellStart"/>
          <w:r w:rsidRPr="00BF632C">
            <w:rPr>
              <w:rFonts w:ascii="Arial" w:hAnsi="Arial"/>
              <w:lang w:val="fr-FR"/>
            </w:rPr>
            <w:t>vehículos</w:t>
          </w:r>
          <w:proofErr w:type="spellEnd"/>
          <w:r w:rsidRPr="00BF632C">
            <w:rPr>
              <w:rFonts w:ascii="Arial" w:hAnsi="Arial"/>
              <w:lang w:val="fr-FR"/>
            </w:rPr>
            <w:t xml:space="preserve"> </w:t>
          </w:r>
          <w:proofErr w:type="spellStart"/>
          <w:r w:rsidRPr="00BF632C">
            <w:rPr>
              <w:rFonts w:ascii="Arial" w:hAnsi="Arial"/>
              <w:lang w:val="fr-FR"/>
            </w:rPr>
            <w:t>motorizados</w:t>
          </w:r>
          <w:proofErr w:type="spellEnd"/>
          <w:r w:rsidRPr="00BF632C">
            <w:rPr>
              <w:rFonts w:ascii="Arial" w:hAnsi="Arial"/>
              <w:lang w:val="fr-FR"/>
            </w:rPr>
            <w:t xml:space="preserve">. Antes de </w:t>
          </w:r>
          <w:proofErr w:type="spellStart"/>
          <w:r w:rsidRPr="00BF632C">
            <w:rPr>
              <w:rFonts w:ascii="Arial" w:hAnsi="Arial"/>
              <w:lang w:val="fr-FR"/>
            </w:rPr>
            <w:t>proceder</w:t>
          </w:r>
          <w:proofErr w:type="spellEnd"/>
          <w:r w:rsidRPr="00BF632C">
            <w:rPr>
              <w:rFonts w:ascii="Arial" w:hAnsi="Arial"/>
              <w:lang w:val="fr-FR"/>
            </w:rPr>
            <w:t xml:space="preserve"> a su </w:t>
          </w:r>
          <w:proofErr w:type="spellStart"/>
          <w:r w:rsidRPr="00BF632C">
            <w:rPr>
              <w:rFonts w:ascii="Arial" w:hAnsi="Arial"/>
              <w:lang w:val="fr-FR"/>
            </w:rPr>
            <w:t>análisis</w:t>
          </w:r>
          <w:proofErr w:type="spellEnd"/>
          <w:r w:rsidRPr="00BF632C">
            <w:rPr>
              <w:rFonts w:ascii="Arial" w:hAnsi="Arial"/>
              <w:lang w:val="fr-FR"/>
            </w:rPr>
            <w:t xml:space="preserve">, </w:t>
          </w:r>
          <w:proofErr w:type="spellStart"/>
          <w:r w:rsidRPr="00BF632C">
            <w:rPr>
              <w:rFonts w:ascii="Arial" w:hAnsi="Arial"/>
              <w:lang w:val="fr-FR"/>
            </w:rPr>
            <w:t>conviene</w:t>
          </w:r>
          <w:proofErr w:type="spellEnd"/>
          <w:r w:rsidRPr="00BF632C">
            <w:rPr>
              <w:rFonts w:ascii="Arial" w:hAnsi="Arial"/>
              <w:lang w:val="fr-FR"/>
            </w:rPr>
            <w:t xml:space="preserve"> </w:t>
          </w:r>
          <w:proofErr w:type="spellStart"/>
          <w:r w:rsidRPr="00BF632C">
            <w:rPr>
              <w:rFonts w:ascii="Arial" w:hAnsi="Arial"/>
              <w:lang w:val="fr-FR"/>
            </w:rPr>
            <w:t>recordar</w:t>
          </w:r>
          <w:proofErr w:type="spellEnd"/>
          <w:r w:rsidRPr="00BF632C">
            <w:rPr>
              <w:rFonts w:ascii="Arial" w:hAnsi="Arial"/>
              <w:lang w:val="fr-FR"/>
            </w:rPr>
            <w:t xml:space="preserve"> </w:t>
          </w:r>
          <w:proofErr w:type="gramStart"/>
          <w:r w:rsidRPr="00BF632C">
            <w:rPr>
              <w:rFonts w:ascii="Arial" w:hAnsi="Arial"/>
              <w:lang w:val="fr-FR"/>
            </w:rPr>
            <w:t>que en</w:t>
          </w:r>
          <w:proofErr w:type="gramEnd"/>
          <w:r w:rsidRPr="00BF632C">
            <w:rPr>
              <w:rFonts w:ascii="Arial" w:hAnsi="Arial"/>
              <w:lang w:val="fr-FR"/>
            </w:rPr>
            <w:t xml:space="preserve"> la Ley </w:t>
          </w:r>
          <w:proofErr w:type="spellStart"/>
          <w:r w:rsidRPr="00BF632C">
            <w:rPr>
              <w:rFonts w:ascii="Arial" w:hAnsi="Arial"/>
              <w:lang w:val="fr-FR"/>
            </w:rPr>
            <w:t>estatal</w:t>
          </w:r>
          <w:proofErr w:type="spellEnd"/>
          <w:r w:rsidRPr="00BF632C">
            <w:rPr>
              <w:rFonts w:ascii="Arial" w:hAnsi="Arial"/>
              <w:lang w:val="fr-FR"/>
            </w:rPr>
            <w:t xml:space="preserve"> de montes el </w:t>
          </w:r>
          <w:proofErr w:type="spellStart"/>
          <w:r w:rsidRPr="00BF632C">
            <w:rPr>
              <w:rFonts w:ascii="Arial" w:hAnsi="Arial"/>
              <w:lang w:val="fr-FR"/>
            </w:rPr>
            <w:t>tratamiento</w:t>
          </w:r>
          <w:proofErr w:type="spellEnd"/>
          <w:r w:rsidRPr="00BF632C">
            <w:rPr>
              <w:rFonts w:ascii="Arial" w:hAnsi="Arial"/>
              <w:lang w:val="fr-FR"/>
            </w:rPr>
            <w:t xml:space="preserve"> de </w:t>
          </w:r>
          <w:proofErr w:type="spellStart"/>
          <w:r w:rsidRPr="00BF632C">
            <w:rPr>
              <w:rFonts w:ascii="Arial" w:hAnsi="Arial"/>
              <w:lang w:val="fr-FR"/>
            </w:rPr>
            <w:t>esta</w:t>
          </w:r>
          <w:proofErr w:type="spellEnd"/>
          <w:r w:rsidRPr="00BF632C">
            <w:rPr>
              <w:rFonts w:ascii="Arial" w:hAnsi="Arial"/>
              <w:lang w:val="fr-FR"/>
            </w:rPr>
            <w:t xml:space="preserve"> </w:t>
          </w:r>
          <w:proofErr w:type="spellStart"/>
          <w:r w:rsidRPr="00BF632C">
            <w:rPr>
              <w:rFonts w:ascii="Arial" w:hAnsi="Arial"/>
              <w:lang w:val="fr-FR"/>
            </w:rPr>
            <w:t>cuestión</w:t>
          </w:r>
          <w:proofErr w:type="spellEnd"/>
          <w:r w:rsidRPr="00BF632C">
            <w:rPr>
              <w:rFonts w:ascii="Arial" w:hAnsi="Arial"/>
              <w:lang w:val="fr-FR"/>
            </w:rPr>
            <w:t xml:space="preserve"> se vincula con las </w:t>
          </w:r>
          <w:proofErr w:type="spellStart"/>
          <w:r w:rsidRPr="00BF632C">
            <w:rPr>
              <w:rFonts w:ascii="Arial" w:hAnsi="Arial"/>
              <w:lang w:val="fr-FR"/>
            </w:rPr>
            <w:t>medidas</w:t>
          </w:r>
          <w:proofErr w:type="spellEnd"/>
          <w:r w:rsidRPr="00BF632C">
            <w:rPr>
              <w:rFonts w:ascii="Arial" w:hAnsi="Arial"/>
              <w:lang w:val="fr-FR"/>
            </w:rPr>
            <w:t xml:space="preserve"> de </w:t>
          </w:r>
          <w:proofErr w:type="spellStart"/>
          <w:r w:rsidRPr="00BF632C">
            <w:rPr>
              <w:rFonts w:ascii="Arial" w:hAnsi="Arial"/>
              <w:lang w:val="fr-FR"/>
            </w:rPr>
            <w:t>prevención</w:t>
          </w:r>
          <w:proofErr w:type="spellEnd"/>
          <w:r w:rsidRPr="00BF632C">
            <w:rPr>
              <w:rFonts w:ascii="Arial" w:hAnsi="Arial"/>
              <w:lang w:val="fr-FR"/>
            </w:rPr>
            <w:t xml:space="preserve"> de </w:t>
          </w:r>
          <w:proofErr w:type="spellStart"/>
          <w:r w:rsidRPr="00BF632C">
            <w:rPr>
              <w:rFonts w:ascii="Arial" w:hAnsi="Arial"/>
              <w:lang w:val="fr-FR"/>
            </w:rPr>
            <w:t>incendios</w:t>
          </w:r>
          <w:proofErr w:type="spellEnd"/>
          <w:r w:rsidRPr="00BF632C">
            <w:rPr>
              <w:rFonts w:ascii="Arial" w:hAnsi="Arial"/>
              <w:lang w:val="fr-FR"/>
            </w:rPr>
            <w:t xml:space="preserve"> </w:t>
          </w:r>
          <w:proofErr w:type="spellStart"/>
          <w:r w:rsidRPr="00BF632C">
            <w:rPr>
              <w:rFonts w:ascii="Arial" w:hAnsi="Arial"/>
              <w:lang w:val="fr-FR"/>
            </w:rPr>
            <w:t>forestales</w:t>
          </w:r>
          <w:proofErr w:type="spellEnd"/>
          <w:r w:rsidRPr="00BF632C">
            <w:rPr>
              <w:rFonts w:ascii="Arial" w:hAnsi="Arial"/>
              <w:lang w:val="fr-FR"/>
            </w:rPr>
            <w:t xml:space="preserve">. </w:t>
          </w:r>
          <w:proofErr w:type="spellStart"/>
          <w:r w:rsidRPr="00BF632C">
            <w:rPr>
              <w:rFonts w:ascii="Arial" w:hAnsi="Arial"/>
              <w:lang w:val="fr-FR"/>
            </w:rPr>
            <w:t>Por</w:t>
          </w:r>
          <w:proofErr w:type="spellEnd"/>
          <w:r w:rsidRPr="00BF632C">
            <w:rPr>
              <w:rFonts w:ascii="Arial" w:hAnsi="Arial"/>
              <w:lang w:val="fr-FR"/>
            </w:rPr>
            <w:t xml:space="preserve"> </w:t>
          </w:r>
          <w:proofErr w:type="spellStart"/>
          <w:r w:rsidRPr="00BF632C">
            <w:rPr>
              <w:rFonts w:ascii="Arial" w:hAnsi="Arial"/>
              <w:lang w:val="fr-FR"/>
            </w:rPr>
            <w:t>eso</w:t>
          </w:r>
          <w:proofErr w:type="spellEnd"/>
          <w:r w:rsidRPr="00BF632C">
            <w:rPr>
              <w:rFonts w:ascii="Arial" w:hAnsi="Arial"/>
              <w:lang w:val="fr-FR"/>
            </w:rPr>
            <w:t xml:space="preserve"> se </w:t>
          </w:r>
          <w:proofErr w:type="spellStart"/>
          <w:r w:rsidRPr="00BF632C">
            <w:rPr>
              <w:rFonts w:ascii="Arial" w:hAnsi="Arial"/>
              <w:lang w:val="fr-FR"/>
            </w:rPr>
            <w:t>introdujo</w:t>
          </w:r>
          <w:proofErr w:type="spellEnd"/>
          <w:r w:rsidRPr="00BF632C">
            <w:rPr>
              <w:rFonts w:ascii="Arial" w:hAnsi="Arial"/>
              <w:lang w:val="fr-FR"/>
            </w:rPr>
            <w:t xml:space="preserve"> en </w:t>
          </w:r>
          <w:proofErr w:type="spellStart"/>
          <w:r w:rsidRPr="00BF632C">
            <w:rPr>
              <w:rFonts w:ascii="Arial" w:hAnsi="Arial"/>
              <w:lang w:val="fr-FR"/>
            </w:rPr>
            <w:t>ella</w:t>
          </w:r>
          <w:proofErr w:type="spellEnd"/>
          <w:r w:rsidRPr="00BF632C">
            <w:rPr>
              <w:rFonts w:ascii="Arial" w:hAnsi="Arial"/>
              <w:lang w:val="fr-FR"/>
            </w:rPr>
            <w:t xml:space="preserve"> en 2006 el </w:t>
          </w:r>
          <w:proofErr w:type="spellStart"/>
          <w:r w:rsidRPr="00BF632C">
            <w:rPr>
              <w:rFonts w:ascii="Arial" w:hAnsi="Arial"/>
              <w:lang w:val="fr-FR"/>
            </w:rPr>
            <w:t>artículo</w:t>
          </w:r>
          <w:proofErr w:type="spellEnd"/>
          <w:r w:rsidRPr="00BF632C">
            <w:rPr>
              <w:rFonts w:ascii="Arial" w:hAnsi="Arial"/>
              <w:lang w:val="fr-FR"/>
            </w:rPr>
            <w:t xml:space="preserve"> 54 bis LM que </w:t>
          </w:r>
          <w:proofErr w:type="spellStart"/>
          <w:r w:rsidRPr="00BF632C">
            <w:rPr>
              <w:rFonts w:ascii="Arial" w:hAnsi="Arial"/>
              <w:lang w:val="fr-FR"/>
            </w:rPr>
            <w:t>luego</w:t>
          </w:r>
          <w:proofErr w:type="spellEnd"/>
          <w:r w:rsidRPr="00BF632C">
            <w:rPr>
              <w:rFonts w:ascii="Arial" w:hAnsi="Arial"/>
              <w:lang w:val="fr-FR"/>
            </w:rPr>
            <w:t xml:space="preserve"> </w:t>
          </w:r>
          <w:proofErr w:type="spellStart"/>
          <w:r w:rsidRPr="00BF632C">
            <w:rPr>
              <w:rFonts w:ascii="Arial" w:hAnsi="Arial"/>
              <w:lang w:val="fr-FR"/>
            </w:rPr>
            <w:t>fue</w:t>
          </w:r>
          <w:proofErr w:type="spellEnd"/>
          <w:r w:rsidRPr="00BF632C">
            <w:rPr>
              <w:rFonts w:ascii="Arial" w:hAnsi="Arial"/>
              <w:lang w:val="fr-FR"/>
            </w:rPr>
            <w:t xml:space="preserve"> </w:t>
          </w:r>
          <w:proofErr w:type="spellStart"/>
          <w:r w:rsidRPr="00BF632C">
            <w:rPr>
              <w:rFonts w:ascii="Arial" w:hAnsi="Arial"/>
              <w:lang w:val="fr-FR"/>
            </w:rPr>
            <w:t>retocado</w:t>
          </w:r>
          <w:proofErr w:type="spellEnd"/>
          <w:r w:rsidRPr="00BF632C">
            <w:rPr>
              <w:rFonts w:ascii="Arial" w:hAnsi="Arial"/>
              <w:lang w:val="fr-FR"/>
            </w:rPr>
            <w:t xml:space="preserve"> en su </w:t>
          </w:r>
          <w:proofErr w:type="spellStart"/>
          <w:r w:rsidRPr="00BF632C">
            <w:rPr>
              <w:rFonts w:ascii="Arial" w:hAnsi="Arial"/>
              <w:lang w:val="fr-FR"/>
            </w:rPr>
            <w:t>posterior</w:t>
          </w:r>
          <w:proofErr w:type="spellEnd"/>
          <w:r w:rsidRPr="00BF632C">
            <w:rPr>
              <w:rFonts w:ascii="Arial" w:hAnsi="Arial"/>
              <w:lang w:val="fr-FR"/>
            </w:rPr>
            <w:t xml:space="preserve"> reforma de 2015. Reformas </w:t>
          </w:r>
          <w:proofErr w:type="spellStart"/>
          <w:r w:rsidRPr="00BF632C">
            <w:rPr>
              <w:rFonts w:ascii="Arial" w:hAnsi="Arial"/>
              <w:lang w:val="fr-FR"/>
            </w:rPr>
            <w:t>éstas</w:t>
          </w:r>
          <w:proofErr w:type="spellEnd"/>
          <w:r w:rsidRPr="00BF632C">
            <w:rPr>
              <w:rFonts w:ascii="Arial" w:hAnsi="Arial"/>
              <w:lang w:val="fr-FR"/>
            </w:rPr>
            <w:t xml:space="preserve"> a las que </w:t>
          </w:r>
          <w:proofErr w:type="spellStart"/>
          <w:r w:rsidRPr="00BF632C">
            <w:rPr>
              <w:rFonts w:ascii="Arial" w:hAnsi="Arial"/>
              <w:lang w:val="fr-FR"/>
            </w:rPr>
            <w:t>nunca</w:t>
          </w:r>
          <w:proofErr w:type="spellEnd"/>
          <w:r w:rsidRPr="00BF632C">
            <w:rPr>
              <w:rFonts w:ascii="Arial" w:hAnsi="Arial"/>
              <w:lang w:val="fr-FR"/>
            </w:rPr>
            <w:t xml:space="preserve"> se </w:t>
          </w:r>
          <w:proofErr w:type="spellStart"/>
          <w:r w:rsidRPr="00BF632C">
            <w:rPr>
              <w:rFonts w:ascii="Arial" w:hAnsi="Arial"/>
              <w:lang w:val="fr-FR"/>
            </w:rPr>
            <w:t>adaptó</w:t>
          </w:r>
          <w:proofErr w:type="spellEnd"/>
          <w:r w:rsidRPr="00BF632C">
            <w:rPr>
              <w:rFonts w:ascii="Arial" w:hAnsi="Arial"/>
              <w:lang w:val="fr-FR"/>
            </w:rPr>
            <w:t xml:space="preserve">, </w:t>
          </w:r>
          <w:proofErr w:type="spellStart"/>
          <w:r w:rsidRPr="00BF632C">
            <w:rPr>
              <w:rFonts w:ascii="Arial" w:hAnsi="Arial"/>
              <w:lang w:val="fr-FR"/>
            </w:rPr>
            <w:t>por</w:t>
          </w:r>
          <w:proofErr w:type="spellEnd"/>
          <w:r w:rsidRPr="00BF632C">
            <w:rPr>
              <w:rFonts w:ascii="Arial" w:hAnsi="Arial"/>
              <w:lang w:val="fr-FR"/>
            </w:rPr>
            <w:t xml:space="preserve"> </w:t>
          </w:r>
          <w:proofErr w:type="spellStart"/>
          <w:r w:rsidRPr="00BF632C">
            <w:rPr>
              <w:rFonts w:ascii="Arial" w:hAnsi="Arial"/>
              <w:lang w:val="fr-FR"/>
            </w:rPr>
            <w:t>cierto</w:t>
          </w:r>
          <w:proofErr w:type="spellEnd"/>
          <w:r w:rsidRPr="00BF632C">
            <w:rPr>
              <w:rFonts w:ascii="Arial" w:hAnsi="Arial"/>
              <w:lang w:val="fr-FR"/>
            </w:rPr>
            <w:t xml:space="preserve">, el </w:t>
          </w:r>
          <w:proofErr w:type="spellStart"/>
          <w:r w:rsidRPr="00BF632C">
            <w:rPr>
              <w:rFonts w:ascii="Arial" w:hAnsi="Arial"/>
              <w:lang w:val="fr-FR"/>
            </w:rPr>
            <w:t>Reglamento</w:t>
          </w:r>
          <w:proofErr w:type="spellEnd"/>
          <w:r w:rsidRPr="00BF632C">
            <w:rPr>
              <w:rFonts w:ascii="Arial" w:hAnsi="Arial"/>
              <w:lang w:val="fr-FR"/>
            </w:rPr>
            <w:t xml:space="preserve"> </w:t>
          </w:r>
          <w:proofErr w:type="spellStart"/>
          <w:r w:rsidRPr="00BF632C">
            <w:rPr>
              <w:rFonts w:ascii="Arial" w:hAnsi="Arial"/>
              <w:lang w:val="fr-FR"/>
            </w:rPr>
            <w:t>autonómico</w:t>
          </w:r>
          <w:proofErr w:type="spellEnd"/>
          <w:r w:rsidRPr="00BF632C">
            <w:rPr>
              <w:rFonts w:ascii="Arial" w:hAnsi="Arial"/>
              <w:lang w:val="fr-FR"/>
            </w:rPr>
            <w:t>.</w:t>
          </w:r>
        </w:p>
        <w:p w14:paraId="238E199E" w14:textId="77777777" w:rsidR="00591D85" w:rsidRDefault="00F6267D" w:rsidP="004635A5">
          <w:pPr>
            <w:rPr>
              <w:rFonts w:ascii="Arial" w:hAnsi="Arial"/>
              <w:lang w:val="es-ES"/>
            </w:rPr>
          </w:pPr>
          <w:r w:rsidRPr="00F6267D">
            <w:rPr>
              <w:rFonts w:ascii="Arial" w:hAnsi="Arial"/>
              <w:lang w:val="es-ES"/>
            </w:rPr>
            <w:lastRenderedPageBreak/>
            <w:t>Advertido esto, la sentencia trae causa de una solicitud que la Dirección General de Medio Natural había denegado invocando que el artículo 119 del Decreto 114/2003 “prohíbe la circulación por los viales o pistas de uso restringido salvo excepciones dentro de las cuales no se incluye el motivo de su solicitud”. La resolución judicial extracta parcialmente ese precepto para resaltar que, como excepción a la prohibición que rige como regla general,</w:t>
          </w:r>
          <w:r>
            <w:rPr>
              <w:rFonts w:ascii="Arial" w:hAnsi="Arial"/>
              <w:lang w:val="es-ES"/>
            </w:rPr>
            <w:t xml:space="preserve"> </w:t>
          </w:r>
          <w:r w:rsidRPr="00F6267D">
            <w:rPr>
              <w:rFonts w:ascii="Arial" w:hAnsi="Arial"/>
              <w:lang w:val="es-ES"/>
            </w:rPr>
            <w:t>admite que “se podrá circular por las pistas de uso restringido” en determinados casos que incluyen el de “acceso a cualquier aprovechamiento forestal autorizado” [artículo 119.5.b) del Reglamento]. Cierto es que este inciso termina precisando que “[E]n los Pliegos de Condiciones se recogerán los accesos autorizados”.</w:t>
          </w:r>
        </w:p>
        <w:p w14:paraId="1B98EFD7" w14:textId="77777777" w:rsidR="00591D85" w:rsidRDefault="00591D85" w:rsidP="004635A5">
          <w:pPr>
            <w:rPr>
              <w:rFonts w:ascii="Arial" w:hAnsi="Arial"/>
              <w:lang w:val="es-ES"/>
            </w:rPr>
          </w:pPr>
          <w:r w:rsidRPr="00591D85">
            <w:rPr>
              <w:rFonts w:ascii="Arial" w:hAnsi="Arial"/>
              <w:lang w:val="es-ES"/>
            </w:rPr>
            <w:t>Pero, sin prestar atención a esta precisión, la Sala acoge la alegación del demandante en el sentido de que la recogida de hongos y setas silvestres tiene la consideración de aprovechamiento forestal (conforme a la Ley 2/1995 y su Reglamento). Así, y puesto que el recurrente “ha acreditado que tiene autorización para el aprovechamiento forestal de recogida de hongos y setas”, por la Sala “no se comparte la argumentación de la resolución” recurrida, que incurre “en falta de motivación”. Y concluye que “el demandante tenía derecho a circular por la pista forestal que discurre entre Pinillos hasta Gallinero de Cameros el viernes 16 de noviembre de 2018 por la tarde”. Ello comporta la declaración de “disconformidad a derecho del acto administrativo impugnado”. Ahora bien, “cuestión distinta es que no puede concederse la pretensión formulada en segundo lugar (autorizar el acceso a circular con su vehículo a la pista forestal de acceso restringido cuando reúna los requisitos de ejercicio de la actividad de recogida de setas y hongos) porque tal pretensión es de futuro y al tratarse de una autorización habrá que solicitarla cada vez que ejercite su derecho para el aprovechamiento forestal de recogida de hongos y setas”.</w:t>
          </w:r>
        </w:p>
        <w:p w14:paraId="0DC8D4B3" w14:textId="543A7027" w:rsidR="004635A5" w:rsidRPr="00740B4F" w:rsidRDefault="00591D85" w:rsidP="004635A5">
          <w:pPr>
            <w:rPr>
              <w:rFonts w:ascii="Arial" w:hAnsi="Arial"/>
              <w:lang w:val="es-ES"/>
            </w:rPr>
          </w:pPr>
          <w:r w:rsidRPr="00591D85">
            <w:rPr>
              <w:rFonts w:ascii="Arial" w:hAnsi="Arial"/>
              <w:lang w:val="es-ES"/>
            </w:rPr>
            <w:t xml:space="preserve">Queda la sensación de que la cuestión de fondo no acaba de quedar bien resuelta. Desde la óptica del recurrente, y aunque la Sala rechaza la inadmisibilidad del recurso por pérdida sobrevenida de su objeto (alegada por la demandada), lo cierto es que el demandante ni pudo ejercer el derecho que se le reconoce ni podrá jamás hacerlo. Pero es que, desde la perspectiva de la tutela de los intereses generales, inquieta que la Sala no explore otra </w:t>
          </w:r>
          <w:r w:rsidRPr="00591D85">
            <w:rPr>
              <w:rFonts w:ascii="Arial" w:hAnsi="Arial"/>
              <w:lang w:val="es-ES"/>
            </w:rPr>
            <w:lastRenderedPageBreak/>
            <w:t>interpretación que permita armonizar lo dispuesto en el Reglamento de montes de 2003 con el posterior Decreto 1/2015, de 9 de enero, por el que se regula la recolección micológica en el ámbito territorial de la Comunidad Autónoma de La Rioja. Este Decreto se dicta, precisamente, porque “en los últimos años la recolección de setas silvestres en los montes riojanos ha experimentado un incremento notable” y, dado que esta “circunstancia provoca una fuerte presión</w:t>
          </w:r>
          <w:r w:rsidR="00EB2385">
            <w:rPr>
              <w:rFonts w:ascii="Arial" w:hAnsi="Arial"/>
              <w:lang w:val="es-ES"/>
            </w:rPr>
            <w:t xml:space="preserve"> </w:t>
          </w:r>
          <w:r w:rsidR="00EB2385" w:rsidRPr="00EB2385">
            <w:rPr>
              <w:rFonts w:ascii="Arial" w:hAnsi="Arial"/>
              <w:lang w:val="es-ES"/>
            </w:rPr>
            <w:t>sobre el medio natural”, el Gobierno de La Rioja considera “necesario disponer un conjunto de medidas que contribuyan a la preservación y mantenimiento de la diversidad de las especies micológicas y a la armonización y coordinación entre los diferentes usos y aprovechamientos de los montes, con objeto de compatibilizar las exigencias de protección y conservación con las de aprovechamiento racional de los recursos naturales</w:t>
          </w:r>
          <w:r w:rsidR="00605A3D">
            <w:rPr>
              <w:rStyle w:val="Refdenotaalpie"/>
              <w:lang w:val="es-ES"/>
            </w:rPr>
            <w:footnoteReference w:id="3"/>
          </w:r>
          <w:r w:rsidR="00EB2385" w:rsidRPr="00EB2385">
            <w:rPr>
              <w:rFonts w:ascii="Arial" w:hAnsi="Arial"/>
              <w:lang w:val="es-ES"/>
            </w:rPr>
            <w:t>”. En este contexto, cuesta aceptar que responda al espíritu conjunto de ambas normas tener que entender que la Dirección General quede obligada a otorgar la autorización de tránsito motorizado por esas u otras pistas forestales a cualquiera que esgrima una “autorización” para recogida de setas. Más bien parece que a lo que queda obligada es a reforzar la motivación de sus actos denegatorios. Y ello, claro está, sin perjuicio de iniciar, si lo estima oportuno, el procedimiento para una reforma normativa que especifique el tipo de aprovechamientos forestales a los que se refiere el artículo 119.5.b) del Reglamento de montes de 2003.</w:t>
          </w:r>
        </w:p>
      </w:sdtContent>
    </w:sdt>
    <w:sdt>
      <w:sdtPr>
        <w:rPr>
          <w:rFonts w:ascii="Arial" w:hAnsi="Arial"/>
          <w:lang w:val="fr-FR"/>
        </w:rPr>
        <w:id w:val="-730158596"/>
        <w:placeholder>
          <w:docPart w:val="D7A2CEA942884BADB5FAA58828EF32E4"/>
        </w:placeholder>
      </w:sdtPr>
      <w:sdtContent>
        <w:p w14:paraId="12961254" w14:textId="77777777" w:rsidR="00EB2385" w:rsidRDefault="00EB2385" w:rsidP="004635A5">
          <w:pPr>
            <w:rPr>
              <w:rFonts w:ascii="Arial" w:hAnsi="Arial"/>
              <w:lang w:val="fr-FR"/>
            </w:rPr>
          </w:pPr>
          <w:r w:rsidRPr="00EB2385">
            <w:rPr>
              <w:rFonts w:ascii="Arial" w:hAnsi="Arial"/>
              <w:lang w:val="fr-FR"/>
            </w:rPr>
            <w:t xml:space="preserve">b) </w:t>
          </w:r>
          <w:proofErr w:type="spellStart"/>
          <w:r w:rsidRPr="00EB2385">
            <w:rPr>
              <w:rFonts w:ascii="Arial" w:hAnsi="Arial"/>
              <w:lang w:val="fr-FR"/>
            </w:rPr>
            <w:t>Ordenanza</w:t>
          </w:r>
          <w:proofErr w:type="spellEnd"/>
          <w:r w:rsidRPr="00EB2385">
            <w:rPr>
              <w:rFonts w:ascii="Arial" w:hAnsi="Arial"/>
              <w:lang w:val="fr-FR"/>
            </w:rPr>
            <w:t xml:space="preserve"> municipal de </w:t>
          </w:r>
          <w:proofErr w:type="spellStart"/>
          <w:r w:rsidRPr="00EB2385">
            <w:rPr>
              <w:rFonts w:ascii="Arial" w:hAnsi="Arial"/>
              <w:lang w:val="fr-FR"/>
            </w:rPr>
            <w:t>caminos</w:t>
          </w:r>
          <w:proofErr w:type="spellEnd"/>
        </w:p>
        <w:p w14:paraId="5CAAD127" w14:textId="77777777" w:rsidR="006D47B5" w:rsidRDefault="00605A3D" w:rsidP="004635A5">
          <w:pPr>
            <w:rPr>
              <w:rFonts w:ascii="Arial" w:hAnsi="Arial"/>
              <w:lang w:val="es-ES"/>
            </w:rPr>
          </w:pPr>
          <w:r w:rsidRPr="00605A3D">
            <w:rPr>
              <w:rFonts w:ascii="Arial" w:hAnsi="Arial"/>
              <w:lang w:val="es-ES"/>
            </w:rPr>
            <w:t xml:space="preserve">Sea como fuere, y todavía en relación con las pistas forestales, mucho mayor alcance tiene la Sentencia del Tribunal Superior de Justicia de La Rioja de 16 de junio de 2022 (ponente Escanilla Pallás). En ella se estima el recurso interpuesto por el Gobierno de La Rioja contra la Ordenanza Municipal reguladora del uso, mantenimiento y mejora de los caminos rurales de Lagunilla del Jubera. Y se declara la nulidad de la Ordenanza por dos motivos. El primero, de carácter formal, estriba en que se aprobó definitivamente antes de que transcurriera el plazo de información pública. La Sala se apoya para ello </w:t>
          </w:r>
          <w:r w:rsidRPr="00605A3D">
            <w:rPr>
              <w:rFonts w:ascii="Arial" w:hAnsi="Arial"/>
              <w:lang w:val="es-ES"/>
            </w:rPr>
            <w:lastRenderedPageBreak/>
            <w:t>en jurisprudencia del Tribunal Supremo conforme a la cual “[E]l acuerdo de aprobación definitiva de ordenanzas fiscales, adoptado antes de haber transcurrido cumplidamente el plazo de 30 días de información pública y de que se hubieran resuelto las reclamaciones y las alegaciones presentadas dentro de dicho plazo en cualquiera de los registros o de los lugares que señala el</w:t>
          </w:r>
          <w:r w:rsidR="006D47B5">
            <w:rPr>
              <w:rFonts w:ascii="Arial" w:hAnsi="Arial"/>
              <w:lang w:val="es-ES"/>
            </w:rPr>
            <w:t xml:space="preserve"> </w:t>
          </w:r>
          <w:r w:rsidR="006D47B5" w:rsidRPr="006D47B5">
            <w:rPr>
              <w:rFonts w:ascii="Arial" w:hAnsi="Arial"/>
              <w:lang w:val="es-ES"/>
            </w:rPr>
            <w:t>artículo 38.4 de la Ley 30/1992, constituye un motivo de nulidad absoluta de las ordenanzas”.</w:t>
          </w:r>
        </w:p>
        <w:p w14:paraId="5E657EE0" w14:textId="77777777" w:rsidR="00B71C16" w:rsidRDefault="00B71C16" w:rsidP="004635A5">
          <w:pPr>
            <w:rPr>
              <w:rFonts w:ascii="Arial" w:hAnsi="Arial"/>
              <w:lang w:val="es-ES"/>
            </w:rPr>
          </w:pPr>
          <w:r w:rsidRPr="00B71C16">
            <w:rPr>
              <w:rFonts w:ascii="Arial" w:hAnsi="Arial"/>
              <w:lang w:val="es-ES"/>
            </w:rPr>
            <w:t>No obstante, el Tribunal pasa a abordar la cuestión de fondo que versa sobre el “exceso competencial” alegado por la demandante. Y, en este sentido, confronta las previsiones básicas relativas a la atribución a los municipios de competencias propias en materia de “infraestructura viaria” [artículo 25.2.d) LBRL] con las que ostenta la Comunidad Autónoma en materia de “montes, aprovechamientos y servicios forestales” (artículo 9 del Estatuto de Autonomía y concordantes tanto de la LM estatal como de la Ley autonómica 2/1995 y su Reglamento). Y así llega a la conclusión de que la Ordenanza incurría también en vicio de incompetencia pues en ella “se contienen preceptos que chocan frontalmente con la competencia que sobre las pistas forestales ostenta la Comunidad Autónoma de la Rioja”. Se entiende que tales preceptos serían, al menos, tres de los seis identificados en la pretensión subsidiaria de la demanda. Pero el fallo da a entender que la declaración de nulidad afecta a la disposición en su integridad.</w:t>
          </w:r>
        </w:p>
        <w:p w14:paraId="6C9495D1" w14:textId="1FDDE6BB" w:rsidR="004635A5" w:rsidRPr="00740B4F" w:rsidRDefault="00B71C16" w:rsidP="004635A5">
          <w:pPr>
            <w:rPr>
              <w:rFonts w:ascii="Arial" w:hAnsi="Arial"/>
              <w:lang w:val="es-ES"/>
            </w:rPr>
          </w:pPr>
          <w:r w:rsidRPr="00B71C16">
            <w:rPr>
              <w:rFonts w:ascii="Arial" w:hAnsi="Arial"/>
              <w:lang w:val="es-ES"/>
            </w:rPr>
            <w:t xml:space="preserve">Lo cual da satisfacción a la pretensión principal del recurrente y, en verdad, aunque ninguno de sus artículos hubiera incurrido en exceso competencial, sería consecuencia lógica del defecto advertido en el trámite esencial de información pública. En este sentido, la sentencia enfatiza “que el trámite de información pública es un trámite esencial del procedimiento es indiscutible. Afecta al derecho de defensa y al derecho a la participación pública en la elaboración de las disposiciones reglamentarias pues la información pública representa la auténtica garantía que asegura la participación ciudadana en el procedimiento de elaboración de la Ordenanza, como disposición reglamentaria, teniendo el derecho de participación pública rango constitucional”. Más adelante esto último queda matizado, como es debido, al </w:t>
          </w:r>
          <w:r w:rsidRPr="00B71C16">
            <w:rPr>
              <w:rFonts w:ascii="Arial" w:hAnsi="Arial"/>
              <w:lang w:val="es-ES"/>
            </w:rPr>
            <w:lastRenderedPageBreak/>
            <w:t xml:space="preserve">hacer referencia expresa al artículo 105 </w:t>
          </w:r>
          <w:proofErr w:type="gramStart"/>
          <w:r w:rsidRPr="00B71C16">
            <w:rPr>
              <w:rFonts w:ascii="Arial" w:hAnsi="Arial"/>
              <w:lang w:val="es-ES"/>
            </w:rPr>
            <w:t>CE</w:t>
          </w:r>
          <w:proofErr w:type="gramEnd"/>
          <w:r w:rsidRPr="00B71C16">
            <w:rPr>
              <w:rFonts w:ascii="Arial" w:hAnsi="Arial"/>
              <w:lang w:val="es-ES"/>
            </w:rPr>
            <w:t xml:space="preserve"> pero no al derecho fundamental que reconoce el artículo 23 CE.</w:t>
          </w:r>
        </w:p>
      </w:sdtContent>
    </w:sdt>
    <w:p w14:paraId="732E7A23" w14:textId="6590ABFC" w:rsidR="00BC14E3" w:rsidRPr="002B368C" w:rsidRDefault="004635A5" w:rsidP="00BC14E3">
      <w:pPr>
        <w:pStyle w:val="Ttulo1"/>
        <w:rPr>
          <w:rFonts w:ascii="Arial" w:hAnsi="Arial"/>
          <w:lang w:val="es-ES"/>
        </w:rPr>
      </w:pPr>
      <w:r w:rsidRPr="002B368C">
        <w:rPr>
          <w:rFonts w:ascii="Arial" w:hAnsi="Arial"/>
          <w:lang w:val="es-ES"/>
        </w:rPr>
        <w:t>4</w:t>
      </w:r>
      <w:r w:rsidR="00BC14E3" w:rsidRPr="002B368C">
        <w:rPr>
          <w:rFonts w:ascii="Arial" w:hAnsi="Arial"/>
          <w:lang w:val="es-ES"/>
        </w:rPr>
        <w:t xml:space="preserve">. </w:t>
      </w:r>
      <w:r w:rsidRPr="002B368C">
        <w:rPr>
          <w:rFonts w:ascii="Arial" w:hAnsi="Arial"/>
          <w:lang w:val="es-ES"/>
        </w:rPr>
        <w:t>RESIDUOS</w:t>
      </w:r>
    </w:p>
    <w:p w14:paraId="580E9EBC" w14:textId="77777777" w:rsidR="002B368C" w:rsidRPr="004635A5" w:rsidRDefault="002B368C" w:rsidP="002B368C">
      <w:pPr>
        <w:pStyle w:val="Ttulo2"/>
        <w:rPr>
          <w:lang w:val="es-ES"/>
        </w:rPr>
      </w:pPr>
      <w:r w:rsidRPr="004635A5">
        <w:rPr>
          <w:lang w:val="es-ES"/>
        </w:rPr>
        <w:t>4.1. Evaluación de impacto ambiental simplificada</w:t>
      </w:r>
    </w:p>
    <w:p w14:paraId="0DD90796" w14:textId="77777777" w:rsidR="00D17BCF" w:rsidRPr="00A07751" w:rsidRDefault="00D17BCF" w:rsidP="00BC14E3">
      <w:pPr>
        <w:rPr>
          <w:rFonts w:ascii="Arial" w:hAnsi="Arial"/>
          <w:lang w:val="es-ES"/>
        </w:rPr>
      </w:pPr>
      <w:r w:rsidRPr="00A07751">
        <w:rPr>
          <w:rFonts w:ascii="Arial" w:hAnsi="Arial"/>
          <w:lang w:val="es-ES"/>
        </w:rPr>
        <w:t>a) Antecedentes</w:t>
      </w:r>
    </w:p>
    <w:p w14:paraId="5D86EF72" w14:textId="77777777" w:rsidR="00A07751" w:rsidRPr="00A07751" w:rsidRDefault="00A07751" w:rsidP="00A07751">
      <w:pPr>
        <w:rPr>
          <w:rFonts w:ascii="Arial" w:hAnsi="Arial"/>
          <w:lang w:val="es-ES"/>
        </w:rPr>
      </w:pPr>
      <w:r w:rsidRPr="00A07751">
        <w:rPr>
          <w:rFonts w:ascii="Arial" w:hAnsi="Arial"/>
          <w:lang w:val="es-ES"/>
        </w:rPr>
        <w:t xml:space="preserve">En el término municipal de Murillo de Río Leza se ubica una planta privada de valorización, clasificación y reciclaje de residuos de la construcción en la que “se está realizando una gestión de residuos en la instalación sin haber acabado la obra y sin haber cumplido ninguna de las condiciones que establece el Informe de Impacto Ambiental” y, lo que resulta determinante, “sin la preceptiva autorización” de gestor. Todas estas irregularidades quedaron probadas en la Sentencia del Tribunal Superior de Justicia de La Rioja de 30 de junio de 2021 (ponente Crespo </w:t>
      </w:r>
      <w:proofErr w:type="spellStart"/>
      <w:r w:rsidRPr="00A07751">
        <w:rPr>
          <w:rFonts w:ascii="Arial" w:hAnsi="Arial"/>
          <w:lang w:val="es-ES"/>
        </w:rPr>
        <w:t>Herce</w:t>
      </w:r>
      <w:proofErr w:type="spellEnd"/>
      <w:r w:rsidRPr="00A07751">
        <w:rPr>
          <w:rFonts w:ascii="Arial" w:hAnsi="Arial"/>
          <w:lang w:val="es-ES"/>
        </w:rPr>
        <w:t>) que, como ya consta en la crónica anterior, impuso a su titular una sanción de 10.000 euros y cuatro meses de suspensión para el ejercicio de actividades previstas” en la Ley 22/2011, de 28 de julio, de residuos y suelos contaminados (LRSC).</w:t>
      </w:r>
    </w:p>
    <w:p w14:paraId="7A430B57" w14:textId="77777777" w:rsidR="00A07751" w:rsidRDefault="00A07751" w:rsidP="00A07751">
      <w:pPr>
        <w:rPr>
          <w:rFonts w:ascii="Arial" w:hAnsi="Arial"/>
          <w:lang w:val="es-ES"/>
        </w:rPr>
      </w:pPr>
      <w:r w:rsidRPr="00A07751">
        <w:rPr>
          <w:rFonts w:ascii="Arial" w:hAnsi="Arial"/>
          <w:lang w:val="es-ES"/>
        </w:rPr>
        <w:t xml:space="preserve">En relación con esa misma planta se ha dictado este año la Sentencia del Tribunal Superior de Justicia de La Rioja de 21 de marzo de 2022 (ponente Crespo </w:t>
      </w:r>
      <w:proofErr w:type="spellStart"/>
      <w:r w:rsidRPr="00A07751">
        <w:rPr>
          <w:rFonts w:ascii="Arial" w:hAnsi="Arial"/>
          <w:lang w:val="es-ES"/>
        </w:rPr>
        <w:t>Herce</w:t>
      </w:r>
      <w:proofErr w:type="spellEnd"/>
      <w:r w:rsidRPr="00A07751">
        <w:rPr>
          <w:rFonts w:ascii="Arial" w:hAnsi="Arial"/>
          <w:lang w:val="es-ES"/>
        </w:rPr>
        <w:t>). El repaso de los antecedentes que en ella se exponen permite remontarse al origen de los problemas. Y es que, en agosto de 2016, la Dirección General de Calidad Ambiental admitió solicitud, “procedente del promotor”, para la evaluación de impacto ambiental simplificada del proyecto. Mediante Resolución 296/2016, de 22 de noviembre, se formuló el correspondiente Informe de Impacto Ambiental (IIA) del proyecto, que se publicó en el BOR de 28 de noviembre (y no de diciembre, como, por error, se lee en la sentencia) de 2016. Este informe decidió “no someter el proyecto a Evaluación de impacto ambiental ordinaria, visto que no se prevén afecciones significativas sobre el medio ambiente”. Pero impuso una serie de “medidas preventivas y correctoras” entre las que figuraba que el promotor “deberá obtener la autorización de tratamiento de residuos para las instalaciones y para el operador”. También recordaba que “</w:t>
      </w:r>
      <w:proofErr w:type="gramStart"/>
      <w:r w:rsidRPr="00A07751">
        <w:rPr>
          <w:rFonts w:ascii="Arial" w:hAnsi="Arial"/>
          <w:lang w:val="es-ES"/>
        </w:rPr>
        <w:t>de acuerdo a</w:t>
      </w:r>
      <w:proofErr w:type="gramEnd"/>
      <w:r w:rsidRPr="00A07751">
        <w:rPr>
          <w:rFonts w:ascii="Arial" w:hAnsi="Arial"/>
          <w:lang w:val="es-ES"/>
        </w:rPr>
        <w:t xml:space="preserve"> lo establecido en el </w:t>
      </w:r>
      <w:r w:rsidRPr="00A07751">
        <w:rPr>
          <w:rFonts w:ascii="Arial" w:hAnsi="Arial"/>
          <w:lang w:val="es-ES"/>
        </w:rPr>
        <w:lastRenderedPageBreak/>
        <w:t>artículo 47.4 de la Ley 21/2013” [de 9 de diciembre, de evaluación ambiental (LEA)], “el presente informe de impacto ambiental perderá su vigencia y cesará en la producción de los efectos que le son propios si, una vez publicado en el Boletín Oficial de La Rioja no se hubiera procedido a la autorización del proyecto en el plazo máximo de cuatro años desde su publicación”.</w:t>
      </w:r>
    </w:p>
    <w:p w14:paraId="02BC62A3" w14:textId="5E2DC2E3" w:rsidR="00917769" w:rsidRPr="00917769" w:rsidRDefault="00917769" w:rsidP="00917769">
      <w:pPr>
        <w:rPr>
          <w:rFonts w:ascii="Arial" w:hAnsi="Arial"/>
          <w:lang w:val="es-ES"/>
        </w:rPr>
      </w:pPr>
      <w:r w:rsidRPr="00917769">
        <w:rPr>
          <w:rFonts w:ascii="Arial" w:hAnsi="Arial"/>
          <w:lang w:val="es-ES"/>
        </w:rPr>
        <w:t>Por obvio que parezca, conviene recordar que el promotor tendría que haber presentado aquella solicitud ante el órgano sustantivo</w:t>
      </w:r>
      <w:r>
        <w:rPr>
          <w:rStyle w:val="Refdenotaalpie"/>
          <w:lang w:val="es-ES"/>
        </w:rPr>
        <w:footnoteReference w:id="4"/>
      </w:r>
      <w:r w:rsidRPr="00917769">
        <w:rPr>
          <w:rFonts w:ascii="Arial" w:hAnsi="Arial"/>
          <w:lang w:val="es-ES"/>
        </w:rPr>
        <w:t>. Y que la naturaleza jurídica del IIA es la de un acto administrativo de trámite que se tendría que haber insertado en ese procedimiento principal a resolver por el órgano sustantivo. Cierto es que, en un caso como éste, el procedimiento sustantivo principal podría haber sido el de obtención de la autorización sectorial de gestor de residuos o el de obtención de las autorizaciones –urbanísticas y/o ambientales– previas para la construcción de las instalaciones. En todo caso, en el relato fáctico de la sentencia nada se aclara sobre ese procedimiento sustantivo principal.</w:t>
      </w:r>
    </w:p>
    <w:p w14:paraId="2FD39110" w14:textId="77777777" w:rsidR="00524E1D" w:rsidRDefault="00917769" w:rsidP="00917769">
      <w:pPr>
        <w:rPr>
          <w:rFonts w:ascii="Arial" w:hAnsi="Arial"/>
          <w:lang w:val="es-ES"/>
        </w:rPr>
      </w:pPr>
      <w:r w:rsidRPr="00917769">
        <w:rPr>
          <w:rFonts w:ascii="Arial" w:hAnsi="Arial"/>
          <w:lang w:val="es-ES"/>
        </w:rPr>
        <w:t xml:space="preserve">En realidad, da la impresión de que todo el mundo opera como si el IIA fuera un acto administrativo definitivo dirigido, no ya al órgano sustantivo competente para resolver el procedimiento principal, sino al promotor que se siente así habilitado para ejecutar su proyecto. Prueba de ello es que en su razonamiento posterior la Sala dará por bueno que “[E]l </w:t>
      </w:r>
      <w:proofErr w:type="gramStart"/>
      <w:r w:rsidRPr="00917769">
        <w:rPr>
          <w:rFonts w:ascii="Arial" w:hAnsi="Arial"/>
          <w:lang w:val="es-ES"/>
        </w:rPr>
        <w:t>Director</w:t>
      </w:r>
      <w:proofErr w:type="gramEnd"/>
      <w:r w:rsidRPr="00917769">
        <w:rPr>
          <w:rFonts w:ascii="Arial" w:hAnsi="Arial"/>
          <w:lang w:val="es-ES"/>
        </w:rPr>
        <w:t xml:space="preserve"> de Calidad Ambiental y Recursos Hídricos comenzó a tramitar la Evaluación de Impacto Ambiental simplificada, confiando en que, a la mayor brevedad posible, el promotor iba a presentar la solicitud y la documentación para la autorización sustantiva”. Y, más aún, a renglón seguido se lee que “[C]</w:t>
      </w:r>
      <w:proofErr w:type="spellStart"/>
      <w:r w:rsidRPr="00917769">
        <w:rPr>
          <w:rFonts w:ascii="Arial" w:hAnsi="Arial"/>
          <w:lang w:val="es-ES"/>
        </w:rPr>
        <w:t>uando</w:t>
      </w:r>
      <w:proofErr w:type="spellEnd"/>
      <w:r w:rsidRPr="00917769">
        <w:rPr>
          <w:rFonts w:ascii="Arial" w:hAnsi="Arial"/>
          <w:lang w:val="es-ES"/>
        </w:rPr>
        <w:t xml:space="preserve"> el promotor solicitó la prórroga, tres años después de obtener la autorización ambiental, la solicitud de autorización sustantiva del proyecto no fue presentada por” el promotor (énfasis añadido para resaltar que se está confundiendo el IIA con una autorización)</w:t>
      </w:r>
      <w:r w:rsidR="00524E1D">
        <w:rPr>
          <w:rStyle w:val="Refdenotaalpie"/>
          <w:lang w:val="es-ES"/>
        </w:rPr>
        <w:footnoteReference w:id="5"/>
      </w:r>
      <w:r w:rsidRPr="00917769">
        <w:rPr>
          <w:rFonts w:ascii="Arial" w:hAnsi="Arial"/>
          <w:lang w:val="es-ES"/>
        </w:rPr>
        <w:t>.</w:t>
      </w:r>
    </w:p>
    <w:p w14:paraId="4716ABBD" w14:textId="49EB2FE0" w:rsidR="005F3967" w:rsidRDefault="005F3967" w:rsidP="00917769">
      <w:pPr>
        <w:rPr>
          <w:rFonts w:ascii="Arial" w:hAnsi="Arial"/>
          <w:lang w:val="es-ES"/>
        </w:rPr>
      </w:pPr>
      <w:r w:rsidRPr="005F3967">
        <w:rPr>
          <w:rFonts w:ascii="Arial" w:hAnsi="Arial"/>
          <w:lang w:val="es-ES"/>
        </w:rPr>
        <w:lastRenderedPageBreak/>
        <w:t>De hecho, el 13 de marzo de 2020 el promotor “solicita la prórroga” del IIA “fundamentándolo en que ´debido a circunstancias tanto externas como internas a la empresa, se han alargado los plazos de ejecución de las obras´”. Esta referencia a “obras” no deja de ser muestra de pasividad de la</w:t>
      </w:r>
      <w:r>
        <w:rPr>
          <w:rFonts w:ascii="Arial" w:hAnsi="Arial"/>
          <w:lang w:val="es-ES"/>
        </w:rPr>
        <w:t xml:space="preserve"> </w:t>
      </w:r>
      <w:r w:rsidRPr="005F3967">
        <w:rPr>
          <w:rFonts w:ascii="Arial" w:hAnsi="Arial"/>
          <w:lang w:val="es-ES"/>
        </w:rPr>
        <w:t xml:space="preserve">Administración ambiental y de descoordinación con la Administración urbanística. Aun así, sin reparar en la importancia de esta cuestión, la sentencia contiene alusiones a la solicitud por el promotor de una “nueva licencia urbanística”, el 28 de abril de 2020, “para poder finalizar las obras de la planta” y a la declaración por el Ayuntamiento de Murillo de Río Leza de “la caducidad de la licencia de obras, </w:t>
      </w:r>
      <w:proofErr w:type="spellStart"/>
      <w:r w:rsidRPr="005F3967">
        <w:rPr>
          <w:rFonts w:ascii="Arial" w:hAnsi="Arial"/>
          <w:lang w:val="es-ES"/>
        </w:rPr>
        <w:t>nº</w:t>
      </w:r>
      <w:proofErr w:type="spellEnd"/>
      <w:r w:rsidRPr="005F3967">
        <w:rPr>
          <w:rFonts w:ascii="Arial" w:hAnsi="Arial"/>
          <w:lang w:val="es-ES"/>
        </w:rPr>
        <w:t xml:space="preserve"> 140/2016”. Sea como fuere, en el procedimiento iniciado mediante la solicitud de prórroga del IIA el único acto de instrucción que consta es el informe de la Sección de Residuos cuyo contenido se extracta, textualmente, del siguiente modo: “en la solicitud del interesado no se aprecia motivación en materia de residuos. Sobre el trámite de autorización sustantiva no existe solicitud”. Y así se llega a la Resolución del </w:t>
      </w:r>
      <w:proofErr w:type="gramStart"/>
      <w:r w:rsidRPr="005F3967">
        <w:rPr>
          <w:rFonts w:ascii="Arial" w:hAnsi="Arial"/>
          <w:lang w:val="es-ES"/>
        </w:rPr>
        <w:t>Director General</w:t>
      </w:r>
      <w:proofErr w:type="gramEnd"/>
      <w:r w:rsidRPr="005F3967">
        <w:rPr>
          <w:rFonts w:ascii="Arial" w:hAnsi="Arial"/>
          <w:lang w:val="es-ES"/>
        </w:rPr>
        <w:t xml:space="preserve"> de Calidad Ambiental, de 16 de abril de 2020, por la que “se deniega la prórroga” pero, al mismo tiempo, se “declara la pérdida de vigencia” del IIA.</w:t>
      </w:r>
    </w:p>
    <w:p w14:paraId="5E988EC6" w14:textId="2DA23899" w:rsidR="005F3967" w:rsidRDefault="00A25F83" w:rsidP="00917769">
      <w:pPr>
        <w:rPr>
          <w:rFonts w:ascii="Arial" w:hAnsi="Arial"/>
          <w:lang w:val="es-ES"/>
        </w:rPr>
      </w:pPr>
      <w:r w:rsidRPr="00A25F83">
        <w:rPr>
          <w:rFonts w:ascii="Arial" w:hAnsi="Arial"/>
          <w:lang w:val="es-ES"/>
        </w:rPr>
        <w:t xml:space="preserve">Contra esta resolución se interpuso recurso de alzada. En la tramitación de éste se recaba informe de la Sección de Evaluación que confirma que “se han producido cambios sustanciales en los elementos esenciales que sirvieron para la evaluación de impacto ambiental simplificada porque las actividades que se están llevando a cabo en la zona son de extracción de áridos, depósitos y enterramiento de residuos; están produciendo impactos significativos que no existían en el momento de la tramitación de la evaluación ambiental simplificada”. Con apoyo en ello, por Resolución de 22 de enero de 2021, el </w:t>
      </w:r>
      <w:proofErr w:type="gramStart"/>
      <w:r w:rsidRPr="00A25F83">
        <w:rPr>
          <w:rFonts w:ascii="Arial" w:hAnsi="Arial"/>
          <w:lang w:val="es-ES"/>
        </w:rPr>
        <w:t>Consejero</w:t>
      </w:r>
      <w:proofErr w:type="gramEnd"/>
      <w:r w:rsidRPr="00A25F83">
        <w:rPr>
          <w:rFonts w:ascii="Arial" w:hAnsi="Arial"/>
          <w:lang w:val="es-ES"/>
        </w:rPr>
        <w:t xml:space="preserve"> desestima el recurso de alzada. Y frente a esta desestimación, el promotor interpone recurso contencioso–administrativo en cuya demanda se formulan dos principales alegaciones que corren suerte dispar. En efecto, la Sala llegará a la conclusión de que la resolución impugnada es conforme a Derecho “en lo que se refiere a la denegación de la prórroga” pero no “en lo relativo a la pérdida de vigencia del IIA, revocándose en este pronunciamiento”.</w:t>
      </w:r>
    </w:p>
    <w:p w14:paraId="4361FE27" w14:textId="78F531E2" w:rsidR="00A25F83" w:rsidRDefault="00A25F83" w:rsidP="00917769">
      <w:pPr>
        <w:rPr>
          <w:rFonts w:ascii="Arial" w:hAnsi="Arial"/>
          <w:lang w:val="es-ES"/>
        </w:rPr>
      </w:pPr>
      <w:r w:rsidRPr="00A25F83">
        <w:rPr>
          <w:rFonts w:ascii="Arial" w:hAnsi="Arial"/>
          <w:lang w:val="es-ES"/>
        </w:rPr>
        <w:lastRenderedPageBreak/>
        <w:t>b) Sobre la prórroga del Informe de Impacto Ambiental</w:t>
      </w:r>
    </w:p>
    <w:p w14:paraId="3F5A8DBF" w14:textId="77777777" w:rsidR="00080BBA" w:rsidRPr="00080BBA" w:rsidRDefault="00A25F83" w:rsidP="00080BBA">
      <w:pPr>
        <w:rPr>
          <w:rFonts w:ascii="Arial" w:hAnsi="Arial"/>
          <w:lang w:val="es-ES"/>
        </w:rPr>
      </w:pPr>
      <w:r w:rsidRPr="00A25F83">
        <w:rPr>
          <w:rFonts w:ascii="Arial" w:hAnsi="Arial"/>
          <w:lang w:val="es-ES"/>
        </w:rPr>
        <w:t>La primera alegación del recurrente sostiene que “no hay motivos para denegar la prórroga” ya que tal denegación “se ha efectuado con ausencia de prueba” y mediante “afirmaciones vagas, incorrectas, sin fundamentar y sin haber</w:t>
      </w:r>
      <w:r w:rsidR="00080BBA">
        <w:rPr>
          <w:rFonts w:ascii="Arial" w:hAnsi="Arial"/>
          <w:lang w:val="es-ES"/>
        </w:rPr>
        <w:t xml:space="preserve"> </w:t>
      </w:r>
      <w:r w:rsidR="00080BBA" w:rsidRPr="00080BBA">
        <w:rPr>
          <w:rFonts w:ascii="Arial" w:hAnsi="Arial"/>
          <w:lang w:val="es-ES"/>
        </w:rPr>
        <w:t>solicitado informe a todos los órganos a los que se solicitó para conceder el informe inicial”.</w:t>
      </w:r>
    </w:p>
    <w:p w14:paraId="7187A9E1" w14:textId="79CD2C84" w:rsidR="00A25F83" w:rsidRDefault="00080BBA" w:rsidP="00080BBA">
      <w:pPr>
        <w:rPr>
          <w:rFonts w:ascii="Arial" w:hAnsi="Arial"/>
          <w:lang w:val="es-ES"/>
        </w:rPr>
      </w:pPr>
      <w:r w:rsidRPr="00080BBA">
        <w:rPr>
          <w:rFonts w:ascii="Arial" w:hAnsi="Arial"/>
          <w:lang w:val="es-ES"/>
        </w:rPr>
        <w:t>A este respecto, la Sala extracta el artículo 47.6 y 7 LEA. También trae a colación, equívocamente, el artículo 6.d) de la Ley 6/2017, de 8 de mayo, de protección del medio ambiente de la Comunidad Autónoma de La Rioja (LPMAR). Se define en él el concepto de “modificación sustancial”, aquí completamente fuera de lugar porque solo opera respecto de “la autorización ambiental integrada o la licencia ambiental”</w:t>
      </w:r>
      <w:r w:rsidR="00F937F4">
        <w:rPr>
          <w:rStyle w:val="Refdenotaalpie"/>
          <w:lang w:val="es-ES"/>
        </w:rPr>
        <w:footnoteReference w:id="6"/>
      </w:r>
      <w:r w:rsidRPr="00080BBA">
        <w:rPr>
          <w:rFonts w:ascii="Arial" w:hAnsi="Arial"/>
          <w:lang w:val="es-ES"/>
        </w:rPr>
        <w:t xml:space="preserve">. En todo caso, la </w:t>
      </w:r>
      <w:r w:rsidRPr="00DE7601">
        <w:rPr>
          <w:rFonts w:ascii="Arial" w:hAnsi="Arial"/>
          <w:i/>
          <w:iCs/>
          <w:lang w:val="es-ES"/>
        </w:rPr>
        <w:t xml:space="preserve">ratio </w:t>
      </w:r>
      <w:proofErr w:type="spellStart"/>
      <w:r w:rsidRPr="00DE7601">
        <w:rPr>
          <w:rFonts w:ascii="Arial" w:hAnsi="Arial"/>
          <w:i/>
          <w:iCs/>
          <w:lang w:val="es-ES"/>
        </w:rPr>
        <w:t>decidendi</w:t>
      </w:r>
      <w:proofErr w:type="spellEnd"/>
      <w:r w:rsidRPr="00080BBA">
        <w:rPr>
          <w:rFonts w:ascii="Arial" w:hAnsi="Arial"/>
          <w:lang w:val="es-ES"/>
        </w:rPr>
        <w:t xml:space="preserve"> descansa en el informe de la Sección de Evaluación sobre el que vuelve con más amplitud para recordar que en él “se detallan las modificaciones sustanciales que se están llevando a cabo” (entre otras, “se está realizando gestión de residuos sin haber acabado la obra”, “se están incumpliendo las características del proyecto evaluado”, se “están produciendo alteraciones de carácter permanente o de larga duración sobre el paisaje, el suelo y el subsuelo”). Informes de agentes forestales también acreditan que “en las instalaciones objeto de recurso se han realizado cambios sustanciales”.</w:t>
      </w:r>
    </w:p>
    <w:p w14:paraId="14678C24" w14:textId="4DB0337B" w:rsidR="00080BBA" w:rsidRPr="00080BBA" w:rsidRDefault="00080BBA" w:rsidP="00080BBA">
      <w:pPr>
        <w:rPr>
          <w:rFonts w:ascii="Arial" w:hAnsi="Arial"/>
          <w:lang w:val="es-ES"/>
        </w:rPr>
      </w:pPr>
      <w:r w:rsidRPr="00080BBA">
        <w:rPr>
          <w:rFonts w:ascii="Arial" w:hAnsi="Arial"/>
          <w:lang w:val="es-ES"/>
        </w:rPr>
        <w:t>c) Sobre la pérdida de vigencia del Informe de Impacto Ambiental</w:t>
      </w:r>
    </w:p>
    <w:p w14:paraId="7EB16C85" w14:textId="77777777" w:rsidR="00F937F4" w:rsidRPr="00F937F4" w:rsidRDefault="00F937F4" w:rsidP="00F937F4">
      <w:pPr>
        <w:rPr>
          <w:rFonts w:ascii="Arial" w:hAnsi="Arial"/>
          <w:lang w:val="es-ES"/>
        </w:rPr>
      </w:pPr>
      <w:r w:rsidRPr="00F937F4">
        <w:rPr>
          <w:rFonts w:ascii="Arial" w:hAnsi="Arial"/>
          <w:lang w:val="es-ES"/>
        </w:rPr>
        <w:t>La segunda alegación del demandante consiste en que, conforme al artículo 47.4 LEA, “no ha incurrido en causa para pérdida de vigencia del informe” y, más precisamente en que “no puede acordarse la pérdida de vigencia del informe en el procedimiento administrativo en el que se solicita la prórroga”.</w:t>
      </w:r>
    </w:p>
    <w:p w14:paraId="66FFF14A" w14:textId="19AA4CCC" w:rsidR="001C04B1" w:rsidRDefault="00F937F4" w:rsidP="00F937F4">
      <w:pPr>
        <w:rPr>
          <w:rFonts w:ascii="Arial" w:hAnsi="Arial"/>
          <w:lang w:val="es-ES"/>
        </w:rPr>
      </w:pPr>
      <w:r w:rsidRPr="00F937F4">
        <w:rPr>
          <w:rFonts w:ascii="Arial" w:hAnsi="Arial"/>
          <w:lang w:val="es-ES"/>
        </w:rPr>
        <w:t xml:space="preserve">A este respecto, la Sala extracta los artículos 45 y 47.4 LEA. Como es sabido, en este último se contempla una única causa de “pérdida de vigencia” que es la falta de autorización del proyecto en un plazo, de cuatro años, que en el caso no había vencido. No ocurre así en el Reglamento de desarrollo del Título I </w:t>
      </w:r>
      <w:r w:rsidRPr="00F937F4">
        <w:rPr>
          <w:rFonts w:ascii="Arial" w:hAnsi="Arial"/>
          <w:lang w:val="es-ES"/>
        </w:rPr>
        <w:lastRenderedPageBreak/>
        <w:t>"Intervención Administrativa" de la LPMAR, aprobado por Decreto 29/2018, de 20 de septiembre, en cuyo artículo 17.2 se añaden otras causas de posible extinción anticipada como el incumplimiento de condiciones o la variación de</w:t>
      </w:r>
      <w:r w:rsidR="001C04B1">
        <w:rPr>
          <w:rFonts w:ascii="Arial" w:hAnsi="Arial"/>
          <w:lang w:val="es-ES"/>
        </w:rPr>
        <w:t xml:space="preserve"> </w:t>
      </w:r>
      <w:r w:rsidR="001D50F5" w:rsidRPr="001D50F5">
        <w:rPr>
          <w:rFonts w:ascii="Arial" w:hAnsi="Arial"/>
          <w:lang w:val="es-ES"/>
        </w:rPr>
        <w:t>circunstancias</w:t>
      </w:r>
      <w:r w:rsidR="001D50F5">
        <w:rPr>
          <w:rStyle w:val="Refdenotaalpie"/>
          <w:lang w:val="es-ES"/>
        </w:rPr>
        <w:footnoteReference w:id="7"/>
      </w:r>
      <w:r w:rsidR="001D50F5" w:rsidRPr="001D50F5">
        <w:rPr>
          <w:rFonts w:ascii="Arial" w:hAnsi="Arial"/>
          <w:lang w:val="es-ES"/>
        </w:rPr>
        <w:t xml:space="preserve">. En todo caso, la ratio </w:t>
      </w:r>
      <w:proofErr w:type="spellStart"/>
      <w:r w:rsidR="001D50F5" w:rsidRPr="001D50F5">
        <w:rPr>
          <w:rFonts w:ascii="Arial" w:hAnsi="Arial"/>
          <w:lang w:val="es-ES"/>
        </w:rPr>
        <w:t>decidendi</w:t>
      </w:r>
      <w:proofErr w:type="spellEnd"/>
      <w:r w:rsidR="001D50F5" w:rsidRPr="001D50F5">
        <w:rPr>
          <w:rFonts w:ascii="Arial" w:hAnsi="Arial"/>
          <w:lang w:val="es-ES"/>
        </w:rPr>
        <w:t xml:space="preserve"> se acaba encontrando en la prohibición de </w:t>
      </w:r>
      <w:proofErr w:type="spellStart"/>
      <w:r w:rsidR="001D50F5" w:rsidRPr="001D50F5">
        <w:rPr>
          <w:rFonts w:ascii="Arial" w:hAnsi="Arial"/>
          <w:lang w:val="es-ES"/>
        </w:rPr>
        <w:t>reformatio</w:t>
      </w:r>
      <w:proofErr w:type="spellEnd"/>
      <w:r w:rsidR="001D50F5" w:rsidRPr="001D50F5">
        <w:rPr>
          <w:rFonts w:ascii="Arial" w:hAnsi="Arial"/>
          <w:lang w:val="es-ES"/>
        </w:rPr>
        <w:t xml:space="preserve"> in </w:t>
      </w:r>
      <w:proofErr w:type="spellStart"/>
      <w:r w:rsidR="001D50F5" w:rsidRPr="001D50F5">
        <w:rPr>
          <w:rFonts w:ascii="Arial" w:hAnsi="Arial"/>
          <w:lang w:val="es-ES"/>
        </w:rPr>
        <w:t>peius</w:t>
      </w:r>
      <w:proofErr w:type="spellEnd"/>
      <w:r w:rsidR="001D50F5" w:rsidRPr="001D50F5">
        <w:rPr>
          <w:rFonts w:ascii="Arial" w:hAnsi="Arial"/>
          <w:lang w:val="es-ES"/>
        </w:rPr>
        <w:t xml:space="preserve"> del artículo 88 LPAC. Así, “en el procedimiento administrativo instado a solicitud de la mercantil interesando la prórroga de un informe de impacto ambiental, no cabe acordar además la pérdida de vigencia de dicho informe, cuando se encontraba en plazo para solicitar la prórroga </w:t>
      </w:r>
      <w:proofErr w:type="gramStart"/>
      <w:r w:rsidR="001D50F5" w:rsidRPr="001D50F5">
        <w:rPr>
          <w:rFonts w:ascii="Arial" w:hAnsi="Arial"/>
          <w:lang w:val="es-ES"/>
        </w:rPr>
        <w:t>del mismo</w:t>
      </w:r>
      <w:proofErr w:type="gramEnd"/>
      <w:r w:rsidR="001D50F5" w:rsidRPr="001D50F5">
        <w:rPr>
          <w:rFonts w:ascii="Arial" w:hAnsi="Arial"/>
          <w:lang w:val="es-ES"/>
        </w:rPr>
        <w:t xml:space="preserve"> al no haber concluido el plazo de cuatro años concedido por la Administración. Ello sin perjuicio de la potestad de la Administración de incoar de oficio un nuevo procedimiento a tal fin”. A lo cual se suma, “a mayor abundamiento”, la falta de audiencia al interesado, exigida expresamente por el artículo 17.2.d) RLPMAR; falta que “causa en este caso, efectiva indefensión, contemplando el procedimiento en su conjunto y el acto final como resultado de la integración de trámites y actuaciones”.</w:t>
      </w:r>
      <w:r w:rsidR="001C04B1">
        <w:rPr>
          <w:rFonts w:ascii="Arial" w:hAnsi="Arial"/>
          <w:lang w:val="es-ES"/>
        </w:rPr>
        <w:t xml:space="preserve"> </w:t>
      </w:r>
    </w:p>
    <w:p w14:paraId="3550FBD0" w14:textId="23B32063" w:rsidR="00CB2DAB" w:rsidRDefault="00CB2DAB" w:rsidP="00F937F4">
      <w:pPr>
        <w:rPr>
          <w:rFonts w:ascii="Arial" w:hAnsi="Arial"/>
          <w:lang w:val="es-ES"/>
        </w:rPr>
      </w:pPr>
      <w:r w:rsidRPr="00CB2DAB">
        <w:rPr>
          <w:rFonts w:ascii="Arial" w:hAnsi="Arial"/>
          <w:lang w:val="es-ES"/>
        </w:rPr>
        <w:t>d) Observación final</w:t>
      </w:r>
    </w:p>
    <w:p w14:paraId="0B412B1A" w14:textId="7C043D49" w:rsidR="00DD1019" w:rsidRDefault="00DD1019" w:rsidP="00F937F4">
      <w:pPr>
        <w:rPr>
          <w:rFonts w:ascii="Arial" w:hAnsi="Arial"/>
          <w:lang w:val="es-ES"/>
        </w:rPr>
      </w:pPr>
      <w:r w:rsidRPr="00DD1019">
        <w:rPr>
          <w:rFonts w:ascii="Arial" w:hAnsi="Arial"/>
          <w:lang w:val="es-ES"/>
        </w:rPr>
        <w:t>En definitiva, dado el planteamiento del proceso, da la impresión de que ni siquiera una fundamentación más consistente habría podido conducir a otro desenlace. Pero, más allá de las consecuencias inciertas del fallo, el caso ilustra sobre el enquistamiento de problemas prácticos que, en un contexto de deficiente comprensión de categorías jurídicas elementales, puede ocasionar que las Administraciones competentes no ejerzan a su debido tiempo y en la forma oportuna las potestades de restablecimiento de la legalidad ambiental. Una potestad ésta que, desde la óptica sectorial, la Administración autonómica ya tenía atribuida por el artículo 30 LRSC y que, con expediente sancionador o sin él, tendría que haber conducido a la paralización de la actividad</w:t>
      </w:r>
      <w:r>
        <w:rPr>
          <w:rStyle w:val="Refdenotaalpie"/>
          <w:lang w:val="es-ES"/>
        </w:rPr>
        <w:footnoteReference w:id="8"/>
      </w:r>
      <w:r w:rsidRPr="00DD1019">
        <w:rPr>
          <w:rFonts w:ascii="Arial" w:hAnsi="Arial"/>
          <w:lang w:val="es-ES"/>
        </w:rPr>
        <w:t>.</w:t>
      </w:r>
    </w:p>
    <w:p w14:paraId="51FA9002" w14:textId="018B0BCD" w:rsidR="004635A5" w:rsidRPr="003D19A7" w:rsidRDefault="004635A5" w:rsidP="004635A5">
      <w:pPr>
        <w:pStyle w:val="Ttulo2"/>
        <w:rPr>
          <w:lang w:val="es-ES"/>
        </w:rPr>
      </w:pPr>
      <w:r w:rsidRPr="003D19A7">
        <w:rPr>
          <w:lang w:val="es-ES"/>
        </w:rPr>
        <w:lastRenderedPageBreak/>
        <w:t>4.</w:t>
      </w:r>
      <w:r w:rsidRPr="003D19A7">
        <w:rPr>
          <w:lang w:val="es-ES"/>
        </w:rPr>
        <w:t>2</w:t>
      </w:r>
      <w:r w:rsidRPr="003D19A7">
        <w:rPr>
          <w:lang w:val="es-ES"/>
        </w:rPr>
        <w:t xml:space="preserve">. </w:t>
      </w:r>
      <w:r w:rsidR="001D398B" w:rsidRPr="003D19A7">
        <w:rPr>
          <w:lang w:val="es-ES"/>
        </w:rPr>
        <w:t>Sanciones</w:t>
      </w:r>
    </w:p>
    <w:sdt>
      <w:sdtPr>
        <w:rPr>
          <w:rFonts w:ascii="Arial" w:hAnsi="Arial"/>
          <w:lang w:val="fr-FR"/>
        </w:rPr>
        <w:id w:val="34468988"/>
        <w:placeholder>
          <w:docPart w:val="023CCB53CC8B42FD92FFA3B6EA49CC3A"/>
        </w:placeholder>
      </w:sdtPr>
      <w:sdtContent>
        <w:p w14:paraId="74837FC7" w14:textId="77777777" w:rsidR="003D19A7" w:rsidRDefault="003D19A7" w:rsidP="00BC14E3">
          <w:pPr>
            <w:rPr>
              <w:rFonts w:ascii="Arial" w:hAnsi="Arial"/>
              <w:lang w:val="fr-FR"/>
            </w:rPr>
          </w:pPr>
          <w:r w:rsidRPr="003D19A7">
            <w:rPr>
              <w:rFonts w:ascii="Arial" w:hAnsi="Arial"/>
              <w:lang w:val="fr-FR"/>
            </w:rPr>
            <w:t xml:space="preserve">Sobre </w:t>
          </w:r>
          <w:proofErr w:type="spellStart"/>
          <w:r w:rsidRPr="003D19A7">
            <w:rPr>
              <w:rFonts w:ascii="Arial" w:hAnsi="Arial"/>
              <w:lang w:val="fr-FR"/>
            </w:rPr>
            <w:t>otra</w:t>
          </w:r>
          <w:proofErr w:type="spellEnd"/>
          <w:r w:rsidRPr="003D19A7">
            <w:rPr>
              <w:rFonts w:ascii="Arial" w:hAnsi="Arial"/>
              <w:lang w:val="fr-FR"/>
            </w:rPr>
            <w:t xml:space="preserve"> </w:t>
          </w:r>
          <w:proofErr w:type="spellStart"/>
          <w:r w:rsidRPr="003D19A7">
            <w:rPr>
              <w:rFonts w:ascii="Arial" w:hAnsi="Arial"/>
              <w:lang w:val="fr-FR"/>
            </w:rPr>
            <w:t>instalación</w:t>
          </w:r>
          <w:proofErr w:type="spellEnd"/>
          <w:r w:rsidRPr="003D19A7">
            <w:rPr>
              <w:rFonts w:ascii="Arial" w:hAnsi="Arial"/>
              <w:lang w:val="fr-FR"/>
            </w:rPr>
            <w:t xml:space="preserve"> </w:t>
          </w:r>
          <w:proofErr w:type="spellStart"/>
          <w:r w:rsidRPr="003D19A7">
            <w:rPr>
              <w:rFonts w:ascii="Arial" w:hAnsi="Arial"/>
              <w:lang w:val="fr-FR"/>
            </w:rPr>
            <w:t>privada</w:t>
          </w:r>
          <w:proofErr w:type="spellEnd"/>
          <w:r w:rsidRPr="003D19A7">
            <w:rPr>
              <w:rFonts w:ascii="Arial" w:hAnsi="Arial"/>
              <w:lang w:val="fr-FR"/>
            </w:rPr>
            <w:t xml:space="preserve"> de </w:t>
          </w:r>
          <w:proofErr w:type="spellStart"/>
          <w:r w:rsidRPr="003D19A7">
            <w:rPr>
              <w:rFonts w:ascii="Arial" w:hAnsi="Arial"/>
              <w:lang w:val="fr-FR"/>
            </w:rPr>
            <w:t>gestión</w:t>
          </w:r>
          <w:proofErr w:type="spellEnd"/>
          <w:r w:rsidRPr="003D19A7">
            <w:rPr>
              <w:rFonts w:ascii="Arial" w:hAnsi="Arial"/>
              <w:lang w:val="fr-FR"/>
            </w:rPr>
            <w:t xml:space="preserve"> a </w:t>
          </w:r>
          <w:proofErr w:type="spellStart"/>
          <w:r w:rsidRPr="003D19A7">
            <w:rPr>
              <w:rFonts w:ascii="Arial" w:hAnsi="Arial"/>
              <w:lang w:val="fr-FR"/>
            </w:rPr>
            <w:t>la</w:t>
          </w:r>
          <w:proofErr w:type="spellEnd"/>
          <w:r w:rsidRPr="003D19A7">
            <w:rPr>
              <w:rFonts w:ascii="Arial" w:hAnsi="Arial"/>
              <w:lang w:val="fr-FR"/>
            </w:rPr>
            <w:t xml:space="preserve"> que </w:t>
          </w:r>
          <w:proofErr w:type="spellStart"/>
          <w:r w:rsidRPr="003D19A7">
            <w:rPr>
              <w:rFonts w:ascii="Arial" w:hAnsi="Arial"/>
              <w:lang w:val="fr-FR"/>
            </w:rPr>
            <w:t>sí</w:t>
          </w:r>
          <w:proofErr w:type="spellEnd"/>
          <w:r w:rsidRPr="003D19A7">
            <w:rPr>
              <w:rFonts w:ascii="Arial" w:hAnsi="Arial"/>
              <w:lang w:val="fr-FR"/>
            </w:rPr>
            <w:t xml:space="preserve"> se </w:t>
          </w:r>
          <w:proofErr w:type="spellStart"/>
          <w:r w:rsidRPr="003D19A7">
            <w:rPr>
              <w:rFonts w:ascii="Arial" w:hAnsi="Arial"/>
              <w:lang w:val="fr-FR"/>
            </w:rPr>
            <w:t>había</w:t>
          </w:r>
          <w:proofErr w:type="spellEnd"/>
          <w:r w:rsidRPr="003D19A7">
            <w:rPr>
              <w:rFonts w:ascii="Arial" w:hAnsi="Arial"/>
              <w:lang w:val="fr-FR"/>
            </w:rPr>
            <w:t xml:space="preserve"> </w:t>
          </w:r>
          <w:proofErr w:type="spellStart"/>
          <w:r w:rsidRPr="003D19A7">
            <w:rPr>
              <w:rFonts w:ascii="Arial" w:hAnsi="Arial"/>
              <w:lang w:val="fr-FR"/>
            </w:rPr>
            <w:t>otorgado</w:t>
          </w:r>
          <w:proofErr w:type="spellEnd"/>
          <w:r w:rsidRPr="003D19A7">
            <w:rPr>
              <w:rFonts w:ascii="Arial" w:hAnsi="Arial"/>
              <w:lang w:val="fr-FR"/>
            </w:rPr>
            <w:t xml:space="preserve"> </w:t>
          </w:r>
          <w:proofErr w:type="spellStart"/>
          <w:r w:rsidRPr="003D19A7">
            <w:rPr>
              <w:rFonts w:ascii="Arial" w:hAnsi="Arial"/>
              <w:lang w:val="fr-FR"/>
            </w:rPr>
            <w:t>autorización</w:t>
          </w:r>
          <w:proofErr w:type="spellEnd"/>
          <w:r w:rsidRPr="003D19A7">
            <w:rPr>
              <w:rFonts w:ascii="Arial" w:hAnsi="Arial"/>
              <w:lang w:val="fr-FR"/>
            </w:rPr>
            <w:t xml:space="preserve"> para la </w:t>
          </w:r>
          <w:proofErr w:type="spellStart"/>
          <w:r w:rsidRPr="003D19A7">
            <w:rPr>
              <w:rFonts w:ascii="Arial" w:hAnsi="Arial"/>
              <w:lang w:val="fr-FR"/>
            </w:rPr>
            <w:t>valorización</w:t>
          </w:r>
          <w:proofErr w:type="spellEnd"/>
          <w:r w:rsidRPr="003D19A7">
            <w:rPr>
              <w:rFonts w:ascii="Arial" w:hAnsi="Arial"/>
              <w:lang w:val="fr-FR"/>
            </w:rPr>
            <w:t xml:space="preserve"> de </w:t>
          </w:r>
          <w:proofErr w:type="spellStart"/>
          <w:r w:rsidRPr="003D19A7">
            <w:rPr>
              <w:rFonts w:ascii="Arial" w:hAnsi="Arial"/>
              <w:lang w:val="fr-FR"/>
            </w:rPr>
            <w:t>residuos</w:t>
          </w:r>
          <w:proofErr w:type="spellEnd"/>
          <w:r w:rsidRPr="003D19A7">
            <w:rPr>
              <w:rFonts w:ascii="Arial" w:hAnsi="Arial"/>
              <w:lang w:val="fr-FR"/>
            </w:rPr>
            <w:t xml:space="preserve"> no </w:t>
          </w:r>
          <w:proofErr w:type="spellStart"/>
          <w:r w:rsidRPr="003D19A7">
            <w:rPr>
              <w:rFonts w:ascii="Arial" w:hAnsi="Arial"/>
              <w:lang w:val="fr-FR"/>
            </w:rPr>
            <w:t>peligrosos</w:t>
          </w:r>
          <w:proofErr w:type="spellEnd"/>
          <w:r w:rsidRPr="003D19A7">
            <w:rPr>
              <w:rFonts w:ascii="Arial" w:hAnsi="Arial"/>
              <w:lang w:val="fr-FR"/>
            </w:rPr>
            <w:t xml:space="preserve"> versa la Sentencia </w:t>
          </w:r>
          <w:proofErr w:type="spellStart"/>
          <w:r w:rsidRPr="003D19A7">
            <w:rPr>
              <w:rFonts w:ascii="Arial" w:hAnsi="Arial"/>
              <w:lang w:val="fr-FR"/>
            </w:rPr>
            <w:t>del</w:t>
          </w:r>
          <w:proofErr w:type="spellEnd"/>
          <w:r w:rsidRPr="003D19A7">
            <w:rPr>
              <w:rFonts w:ascii="Arial" w:hAnsi="Arial"/>
              <w:lang w:val="fr-FR"/>
            </w:rPr>
            <w:t xml:space="preserve"> Tribunal Superior de </w:t>
          </w:r>
          <w:proofErr w:type="spellStart"/>
          <w:r w:rsidRPr="003D19A7">
            <w:rPr>
              <w:rFonts w:ascii="Arial" w:hAnsi="Arial"/>
              <w:lang w:val="fr-FR"/>
            </w:rPr>
            <w:t>Justicia</w:t>
          </w:r>
          <w:proofErr w:type="spellEnd"/>
          <w:r w:rsidRPr="003D19A7">
            <w:rPr>
              <w:rFonts w:ascii="Arial" w:hAnsi="Arial"/>
              <w:lang w:val="fr-FR"/>
            </w:rPr>
            <w:t xml:space="preserve"> de La Rioja de 29 de </w:t>
          </w:r>
          <w:proofErr w:type="spellStart"/>
          <w:r w:rsidRPr="003D19A7">
            <w:rPr>
              <w:rFonts w:ascii="Arial" w:hAnsi="Arial"/>
              <w:lang w:val="fr-FR"/>
            </w:rPr>
            <w:t>junio</w:t>
          </w:r>
          <w:proofErr w:type="spellEnd"/>
          <w:r w:rsidRPr="003D19A7">
            <w:rPr>
              <w:rFonts w:ascii="Arial" w:hAnsi="Arial"/>
              <w:lang w:val="fr-FR"/>
            </w:rPr>
            <w:t xml:space="preserve"> de 2022 (</w:t>
          </w:r>
          <w:proofErr w:type="spellStart"/>
          <w:r w:rsidRPr="003D19A7">
            <w:rPr>
              <w:rFonts w:ascii="Arial" w:hAnsi="Arial"/>
              <w:lang w:val="fr-FR"/>
            </w:rPr>
            <w:t>ponente</w:t>
          </w:r>
          <w:proofErr w:type="spellEnd"/>
          <w:r w:rsidRPr="003D19A7">
            <w:rPr>
              <w:rFonts w:ascii="Arial" w:hAnsi="Arial"/>
              <w:lang w:val="fr-FR"/>
            </w:rPr>
            <w:t xml:space="preserve"> </w:t>
          </w:r>
          <w:proofErr w:type="spellStart"/>
          <w:r w:rsidRPr="003D19A7">
            <w:rPr>
              <w:rFonts w:ascii="Arial" w:hAnsi="Arial"/>
              <w:lang w:val="fr-FR"/>
            </w:rPr>
            <w:t>Crespo</w:t>
          </w:r>
          <w:proofErr w:type="spellEnd"/>
          <w:r w:rsidRPr="003D19A7">
            <w:rPr>
              <w:rFonts w:ascii="Arial" w:hAnsi="Arial"/>
              <w:lang w:val="fr-FR"/>
            </w:rPr>
            <w:t xml:space="preserve"> </w:t>
          </w:r>
          <w:proofErr w:type="spellStart"/>
          <w:r w:rsidRPr="003D19A7">
            <w:rPr>
              <w:rFonts w:ascii="Arial" w:hAnsi="Arial"/>
              <w:lang w:val="fr-FR"/>
            </w:rPr>
            <w:t>Herce</w:t>
          </w:r>
          <w:proofErr w:type="spellEnd"/>
          <w:r w:rsidRPr="003D19A7">
            <w:rPr>
              <w:rFonts w:ascii="Arial" w:hAnsi="Arial"/>
              <w:lang w:val="fr-FR"/>
            </w:rPr>
            <w:t xml:space="preserve">). </w:t>
          </w:r>
          <w:proofErr w:type="spellStart"/>
          <w:r w:rsidRPr="003D19A7">
            <w:rPr>
              <w:rFonts w:ascii="Arial" w:hAnsi="Arial"/>
              <w:lang w:val="fr-FR"/>
            </w:rPr>
            <w:t>Trae</w:t>
          </w:r>
          <w:proofErr w:type="spellEnd"/>
          <w:r w:rsidRPr="003D19A7">
            <w:rPr>
              <w:rFonts w:ascii="Arial" w:hAnsi="Arial"/>
              <w:lang w:val="fr-FR"/>
            </w:rPr>
            <w:t xml:space="preserve"> causa de </w:t>
          </w:r>
          <w:proofErr w:type="spellStart"/>
          <w:r w:rsidRPr="003D19A7">
            <w:rPr>
              <w:rFonts w:ascii="Arial" w:hAnsi="Arial"/>
              <w:lang w:val="fr-FR"/>
            </w:rPr>
            <w:t>resolución</w:t>
          </w:r>
          <w:proofErr w:type="spellEnd"/>
          <w:r w:rsidRPr="003D19A7">
            <w:rPr>
              <w:rFonts w:ascii="Arial" w:hAnsi="Arial"/>
              <w:lang w:val="fr-FR"/>
            </w:rPr>
            <w:t xml:space="preserve"> </w:t>
          </w:r>
          <w:proofErr w:type="spellStart"/>
          <w:r w:rsidRPr="003D19A7">
            <w:rPr>
              <w:rFonts w:ascii="Arial" w:hAnsi="Arial"/>
              <w:lang w:val="fr-FR"/>
            </w:rPr>
            <w:t>del</w:t>
          </w:r>
          <w:proofErr w:type="spellEnd"/>
          <w:r w:rsidRPr="003D19A7">
            <w:rPr>
              <w:rFonts w:ascii="Arial" w:hAnsi="Arial"/>
              <w:lang w:val="fr-FR"/>
            </w:rPr>
            <w:t xml:space="preserve"> </w:t>
          </w:r>
          <w:proofErr w:type="spellStart"/>
          <w:r w:rsidRPr="003D19A7">
            <w:rPr>
              <w:rFonts w:ascii="Arial" w:hAnsi="Arial"/>
              <w:lang w:val="fr-FR"/>
            </w:rPr>
            <w:t>Director</w:t>
          </w:r>
          <w:proofErr w:type="spellEnd"/>
          <w:r w:rsidRPr="003D19A7">
            <w:rPr>
              <w:rFonts w:ascii="Arial" w:hAnsi="Arial"/>
              <w:lang w:val="fr-FR"/>
            </w:rPr>
            <w:t xml:space="preserve"> General de </w:t>
          </w:r>
          <w:proofErr w:type="spellStart"/>
          <w:r w:rsidRPr="003D19A7">
            <w:rPr>
              <w:rFonts w:ascii="Arial" w:hAnsi="Arial"/>
              <w:lang w:val="fr-FR"/>
            </w:rPr>
            <w:t>Calidad</w:t>
          </w:r>
          <w:proofErr w:type="spellEnd"/>
          <w:r w:rsidRPr="003D19A7">
            <w:rPr>
              <w:rFonts w:ascii="Arial" w:hAnsi="Arial"/>
              <w:lang w:val="fr-FR"/>
            </w:rPr>
            <w:t xml:space="preserve"> </w:t>
          </w:r>
          <w:proofErr w:type="spellStart"/>
          <w:r w:rsidRPr="003D19A7">
            <w:rPr>
              <w:rFonts w:ascii="Arial" w:hAnsi="Arial"/>
              <w:lang w:val="fr-FR"/>
            </w:rPr>
            <w:t>Ambiental</w:t>
          </w:r>
          <w:proofErr w:type="spellEnd"/>
          <w:r w:rsidRPr="003D19A7">
            <w:rPr>
              <w:rFonts w:ascii="Arial" w:hAnsi="Arial"/>
              <w:lang w:val="fr-FR"/>
            </w:rPr>
            <w:t xml:space="preserve"> </w:t>
          </w:r>
          <w:proofErr w:type="spellStart"/>
          <w:r w:rsidRPr="003D19A7">
            <w:rPr>
              <w:rFonts w:ascii="Arial" w:hAnsi="Arial"/>
              <w:lang w:val="fr-FR"/>
            </w:rPr>
            <w:t>por</w:t>
          </w:r>
          <w:proofErr w:type="spellEnd"/>
          <w:r w:rsidRPr="003D19A7">
            <w:rPr>
              <w:rFonts w:ascii="Arial" w:hAnsi="Arial"/>
              <w:lang w:val="fr-FR"/>
            </w:rPr>
            <w:t xml:space="preserve"> la que se </w:t>
          </w:r>
          <w:proofErr w:type="spellStart"/>
          <w:r w:rsidRPr="003D19A7">
            <w:rPr>
              <w:rFonts w:ascii="Arial" w:hAnsi="Arial"/>
              <w:lang w:val="fr-FR"/>
            </w:rPr>
            <w:t>impuso</w:t>
          </w:r>
          <w:proofErr w:type="spellEnd"/>
          <w:r w:rsidRPr="003D19A7">
            <w:rPr>
              <w:rFonts w:ascii="Arial" w:hAnsi="Arial"/>
              <w:lang w:val="fr-FR"/>
            </w:rPr>
            <w:t xml:space="preserve"> a su </w:t>
          </w:r>
          <w:proofErr w:type="spellStart"/>
          <w:r w:rsidRPr="003D19A7">
            <w:rPr>
              <w:rFonts w:ascii="Arial" w:hAnsi="Arial"/>
              <w:lang w:val="fr-FR"/>
            </w:rPr>
            <w:t>titular</w:t>
          </w:r>
          <w:proofErr w:type="spellEnd"/>
          <w:r w:rsidRPr="003D19A7">
            <w:rPr>
              <w:rFonts w:ascii="Arial" w:hAnsi="Arial"/>
              <w:lang w:val="fr-FR"/>
            </w:rPr>
            <w:t xml:space="preserve"> </w:t>
          </w:r>
          <w:proofErr w:type="spellStart"/>
          <w:r w:rsidRPr="003D19A7">
            <w:rPr>
              <w:rFonts w:ascii="Arial" w:hAnsi="Arial"/>
              <w:lang w:val="fr-FR"/>
            </w:rPr>
            <w:t>una</w:t>
          </w:r>
          <w:proofErr w:type="spellEnd"/>
          <w:r w:rsidRPr="003D19A7">
            <w:rPr>
              <w:rFonts w:ascii="Arial" w:hAnsi="Arial"/>
              <w:lang w:val="fr-FR"/>
            </w:rPr>
            <w:t xml:space="preserve"> </w:t>
          </w:r>
          <w:proofErr w:type="spellStart"/>
          <w:r w:rsidRPr="003D19A7">
            <w:rPr>
              <w:rFonts w:ascii="Arial" w:hAnsi="Arial"/>
              <w:lang w:val="fr-FR"/>
            </w:rPr>
            <w:t>sanción</w:t>
          </w:r>
          <w:proofErr w:type="spellEnd"/>
          <w:r w:rsidRPr="003D19A7">
            <w:rPr>
              <w:rFonts w:ascii="Arial" w:hAnsi="Arial"/>
              <w:lang w:val="fr-FR"/>
            </w:rPr>
            <w:t xml:space="preserve"> “</w:t>
          </w:r>
          <w:proofErr w:type="spellStart"/>
          <w:r w:rsidRPr="003D19A7">
            <w:rPr>
              <w:rFonts w:ascii="Arial" w:hAnsi="Arial"/>
              <w:lang w:val="fr-FR"/>
            </w:rPr>
            <w:t>por</w:t>
          </w:r>
          <w:proofErr w:type="spellEnd"/>
          <w:r w:rsidRPr="003D19A7">
            <w:rPr>
              <w:rFonts w:ascii="Arial" w:hAnsi="Arial"/>
              <w:lang w:val="fr-FR"/>
            </w:rPr>
            <w:t xml:space="preserve"> la </w:t>
          </w:r>
          <w:proofErr w:type="spellStart"/>
          <w:r w:rsidRPr="003D19A7">
            <w:rPr>
              <w:rFonts w:ascii="Arial" w:hAnsi="Arial"/>
              <w:lang w:val="fr-FR"/>
            </w:rPr>
            <w:t>infracción</w:t>
          </w:r>
          <w:proofErr w:type="spellEnd"/>
          <w:r w:rsidRPr="003D19A7">
            <w:rPr>
              <w:rFonts w:ascii="Arial" w:hAnsi="Arial"/>
              <w:lang w:val="fr-FR"/>
            </w:rPr>
            <w:t xml:space="preserve"> </w:t>
          </w:r>
          <w:proofErr w:type="spellStart"/>
          <w:r w:rsidRPr="003D19A7">
            <w:rPr>
              <w:rFonts w:ascii="Arial" w:hAnsi="Arial"/>
              <w:lang w:val="fr-FR"/>
            </w:rPr>
            <w:t>prevista</w:t>
          </w:r>
          <w:proofErr w:type="spellEnd"/>
          <w:r w:rsidRPr="003D19A7">
            <w:rPr>
              <w:rFonts w:ascii="Arial" w:hAnsi="Arial"/>
              <w:lang w:val="fr-FR"/>
            </w:rPr>
            <w:t xml:space="preserve"> en los </w:t>
          </w:r>
          <w:proofErr w:type="spellStart"/>
          <w:r w:rsidRPr="003D19A7">
            <w:rPr>
              <w:rFonts w:ascii="Arial" w:hAnsi="Arial"/>
              <w:lang w:val="fr-FR"/>
            </w:rPr>
            <w:t>artículos</w:t>
          </w:r>
          <w:proofErr w:type="spellEnd"/>
          <w:r w:rsidRPr="003D19A7">
            <w:rPr>
              <w:rFonts w:ascii="Arial" w:hAnsi="Arial"/>
              <w:lang w:val="fr-FR"/>
            </w:rPr>
            <w:t xml:space="preserve"> 46.3.a), b) y c) LRSC. </w:t>
          </w:r>
          <w:proofErr w:type="spellStart"/>
          <w:r w:rsidRPr="003D19A7">
            <w:rPr>
              <w:rFonts w:ascii="Arial" w:hAnsi="Arial"/>
              <w:lang w:val="fr-FR"/>
            </w:rPr>
            <w:t>Conviene</w:t>
          </w:r>
          <w:proofErr w:type="spellEnd"/>
          <w:r w:rsidRPr="003D19A7">
            <w:rPr>
              <w:rFonts w:ascii="Arial" w:hAnsi="Arial"/>
              <w:lang w:val="fr-FR"/>
            </w:rPr>
            <w:t xml:space="preserve"> </w:t>
          </w:r>
          <w:proofErr w:type="spellStart"/>
          <w:r w:rsidRPr="003D19A7">
            <w:rPr>
              <w:rFonts w:ascii="Arial" w:hAnsi="Arial"/>
              <w:lang w:val="fr-FR"/>
            </w:rPr>
            <w:t>precisar</w:t>
          </w:r>
          <w:proofErr w:type="spellEnd"/>
          <w:r w:rsidRPr="003D19A7">
            <w:rPr>
              <w:rFonts w:ascii="Arial" w:hAnsi="Arial"/>
              <w:lang w:val="fr-FR"/>
            </w:rPr>
            <w:t xml:space="preserve">, </w:t>
          </w:r>
          <w:proofErr w:type="spellStart"/>
          <w:r w:rsidRPr="003D19A7">
            <w:rPr>
              <w:rFonts w:ascii="Arial" w:hAnsi="Arial"/>
              <w:lang w:val="fr-FR"/>
            </w:rPr>
            <w:t>por</w:t>
          </w:r>
          <w:proofErr w:type="spellEnd"/>
          <w:r w:rsidRPr="003D19A7">
            <w:rPr>
              <w:rFonts w:ascii="Arial" w:hAnsi="Arial"/>
              <w:lang w:val="fr-FR"/>
            </w:rPr>
            <w:t xml:space="preserve"> lo que </w:t>
          </w:r>
          <w:proofErr w:type="spellStart"/>
          <w:r w:rsidRPr="003D19A7">
            <w:rPr>
              <w:rFonts w:ascii="Arial" w:hAnsi="Arial"/>
              <w:lang w:val="fr-FR"/>
            </w:rPr>
            <w:t>luego</w:t>
          </w:r>
          <w:proofErr w:type="spellEnd"/>
          <w:r w:rsidRPr="003D19A7">
            <w:rPr>
              <w:rFonts w:ascii="Arial" w:hAnsi="Arial"/>
              <w:lang w:val="fr-FR"/>
            </w:rPr>
            <w:t xml:space="preserve"> se </w:t>
          </w:r>
          <w:proofErr w:type="spellStart"/>
          <w:r w:rsidRPr="003D19A7">
            <w:rPr>
              <w:rFonts w:ascii="Arial" w:hAnsi="Arial"/>
              <w:lang w:val="fr-FR"/>
            </w:rPr>
            <w:t>verá</w:t>
          </w:r>
          <w:proofErr w:type="spellEnd"/>
          <w:r w:rsidRPr="003D19A7">
            <w:rPr>
              <w:rFonts w:ascii="Arial" w:hAnsi="Arial"/>
              <w:lang w:val="fr-FR"/>
            </w:rPr>
            <w:t xml:space="preserve">, que en </w:t>
          </w:r>
          <w:proofErr w:type="spellStart"/>
          <w:r w:rsidRPr="003D19A7">
            <w:rPr>
              <w:rFonts w:ascii="Arial" w:hAnsi="Arial"/>
              <w:lang w:val="fr-FR"/>
            </w:rPr>
            <w:t>esos</w:t>
          </w:r>
          <w:proofErr w:type="spellEnd"/>
          <w:r w:rsidRPr="003D19A7">
            <w:rPr>
              <w:rFonts w:ascii="Arial" w:hAnsi="Arial"/>
              <w:lang w:val="fr-FR"/>
            </w:rPr>
            <w:t xml:space="preserve"> </w:t>
          </w:r>
          <w:proofErr w:type="spellStart"/>
          <w:r w:rsidRPr="003D19A7">
            <w:rPr>
              <w:rFonts w:ascii="Arial" w:hAnsi="Arial"/>
              <w:lang w:val="fr-FR"/>
            </w:rPr>
            <w:t>preceptos</w:t>
          </w:r>
          <w:proofErr w:type="spellEnd"/>
          <w:r w:rsidRPr="003D19A7">
            <w:rPr>
              <w:rFonts w:ascii="Arial" w:hAnsi="Arial"/>
              <w:lang w:val="fr-FR"/>
            </w:rPr>
            <w:t xml:space="preserve"> se </w:t>
          </w:r>
          <w:proofErr w:type="spellStart"/>
          <w:r w:rsidRPr="003D19A7">
            <w:rPr>
              <w:rFonts w:ascii="Arial" w:hAnsi="Arial"/>
              <w:lang w:val="fr-FR"/>
            </w:rPr>
            <w:t>tipificaban</w:t>
          </w:r>
          <w:proofErr w:type="spellEnd"/>
          <w:r w:rsidRPr="003D19A7">
            <w:rPr>
              <w:rFonts w:ascii="Arial" w:hAnsi="Arial"/>
              <w:lang w:val="fr-FR"/>
            </w:rPr>
            <w:t xml:space="preserve"> </w:t>
          </w:r>
          <w:proofErr w:type="spellStart"/>
          <w:r w:rsidRPr="003D19A7">
            <w:rPr>
              <w:rFonts w:ascii="Arial" w:hAnsi="Arial"/>
              <w:lang w:val="fr-FR"/>
            </w:rPr>
            <w:t>como</w:t>
          </w:r>
          <w:proofErr w:type="spellEnd"/>
          <w:r w:rsidRPr="003D19A7">
            <w:rPr>
              <w:rFonts w:ascii="Arial" w:hAnsi="Arial"/>
              <w:lang w:val="fr-FR"/>
            </w:rPr>
            <w:t xml:space="preserve"> </w:t>
          </w:r>
          <w:proofErr w:type="spellStart"/>
          <w:r w:rsidRPr="003D19A7">
            <w:rPr>
              <w:rFonts w:ascii="Arial" w:hAnsi="Arial"/>
              <w:lang w:val="fr-FR"/>
            </w:rPr>
            <w:t>infracciones</w:t>
          </w:r>
          <w:proofErr w:type="spellEnd"/>
          <w:r w:rsidRPr="003D19A7">
            <w:rPr>
              <w:rFonts w:ascii="Arial" w:hAnsi="Arial"/>
              <w:lang w:val="fr-FR"/>
            </w:rPr>
            <w:t xml:space="preserve"> graves, </w:t>
          </w:r>
          <w:proofErr w:type="spellStart"/>
          <w:r w:rsidRPr="003D19A7">
            <w:rPr>
              <w:rFonts w:ascii="Arial" w:hAnsi="Arial"/>
              <w:lang w:val="fr-FR"/>
            </w:rPr>
            <w:t>siempre</w:t>
          </w:r>
          <w:proofErr w:type="spellEnd"/>
          <w:r w:rsidRPr="003D19A7">
            <w:rPr>
              <w:rFonts w:ascii="Arial" w:hAnsi="Arial"/>
              <w:lang w:val="fr-FR"/>
            </w:rPr>
            <w:t xml:space="preserve"> que no </w:t>
          </w:r>
          <w:proofErr w:type="spellStart"/>
          <w:r w:rsidRPr="003D19A7">
            <w:rPr>
              <w:rFonts w:ascii="Arial" w:hAnsi="Arial"/>
              <w:lang w:val="fr-FR"/>
            </w:rPr>
            <w:t>hubieran</w:t>
          </w:r>
          <w:proofErr w:type="spellEnd"/>
          <w:r w:rsidRPr="003D19A7">
            <w:rPr>
              <w:rFonts w:ascii="Arial" w:hAnsi="Arial"/>
              <w:lang w:val="fr-FR"/>
            </w:rPr>
            <w:t xml:space="preserve"> </w:t>
          </w:r>
          <w:proofErr w:type="spellStart"/>
          <w:r w:rsidRPr="003D19A7">
            <w:rPr>
              <w:rFonts w:ascii="Arial" w:hAnsi="Arial"/>
              <w:lang w:val="fr-FR"/>
            </w:rPr>
            <w:t>supuesto</w:t>
          </w:r>
          <w:proofErr w:type="spellEnd"/>
          <w:r w:rsidRPr="003D19A7">
            <w:rPr>
              <w:rFonts w:ascii="Arial" w:hAnsi="Arial"/>
              <w:lang w:val="fr-FR"/>
            </w:rPr>
            <w:t xml:space="preserve"> un </w:t>
          </w:r>
          <w:proofErr w:type="spellStart"/>
          <w:r w:rsidRPr="003D19A7">
            <w:rPr>
              <w:rFonts w:ascii="Arial" w:hAnsi="Arial"/>
              <w:lang w:val="fr-FR"/>
            </w:rPr>
            <w:t>peligro</w:t>
          </w:r>
          <w:proofErr w:type="spellEnd"/>
          <w:r w:rsidRPr="003D19A7">
            <w:rPr>
              <w:rFonts w:ascii="Arial" w:hAnsi="Arial"/>
              <w:lang w:val="fr-FR"/>
            </w:rPr>
            <w:t xml:space="preserve"> grave o un </w:t>
          </w:r>
          <w:proofErr w:type="spellStart"/>
          <w:r w:rsidRPr="003D19A7">
            <w:rPr>
              <w:rFonts w:ascii="Arial" w:hAnsi="Arial"/>
              <w:lang w:val="fr-FR"/>
            </w:rPr>
            <w:t>daño</w:t>
          </w:r>
          <w:proofErr w:type="spellEnd"/>
          <w:r w:rsidRPr="003D19A7">
            <w:rPr>
              <w:rFonts w:ascii="Arial" w:hAnsi="Arial"/>
              <w:lang w:val="fr-FR"/>
            </w:rPr>
            <w:t xml:space="preserve"> a la </w:t>
          </w:r>
          <w:proofErr w:type="spellStart"/>
          <w:r w:rsidRPr="003D19A7">
            <w:rPr>
              <w:rFonts w:ascii="Arial" w:hAnsi="Arial"/>
              <w:lang w:val="fr-FR"/>
            </w:rPr>
            <w:t>salud</w:t>
          </w:r>
          <w:proofErr w:type="spellEnd"/>
          <w:r w:rsidRPr="003D19A7">
            <w:rPr>
              <w:rFonts w:ascii="Arial" w:hAnsi="Arial"/>
              <w:lang w:val="fr-FR"/>
            </w:rPr>
            <w:t xml:space="preserve"> de las </w:t>
          </w:r>
          <w:proofErr w:type="spellStart"/>
          <w:r w:rsidRPr="003D19A7">
            <w:rPr>
              <w:rFonts w:ascii="Arial" w:hAnsi="Arial"/>
              <w:lang w:val="fr-FR"/>
            </w:rPr>
            <w:t>personas</w:t>
          </w:r>
          <w:proofErr w:type="spellEnd"/>
          <w:r w:rsidRPr="003D19A7">
            <w:rPr>
              <w:rFonts w:ascii="Arial" w:hAnsi="Arial"/>
              <w:lang w:val="fr-FR"/>
            </w:rPr>
            <w:t xml:space="preserve"> o </w:t>
          </w:r>
          <w:proofErr w:type="spellStart"/>
          <w:r w:rsidRPr="003D19A7">
            <w:rPr>
              <w:rFonts w:ascii="Arial" w:hAnsi="Arial"/>
              <w:lang w:val="fr-FR"/>
            </w:rPr>
            <w:t>deterioro</w:t>
          </w:r>
          <w:proofErr w:type="spellEnd"/>
          <w:r w:rsidRPr="003D19A7">
            <w:rPr>
              <w:rFonts w:ascii="Arial" w:hAnsi="Arial"/>
              <w:lang w:val="fr-FR"/>
            </w:rPr>
            <w:t xml:space="preserve"> grave para el medio </w:t>
          </w:r>
          <w:proofErr w:type="spellStart"/>
          <w:r w:rsidRPr="003D19A7">
            <w:rPr>
              <w:rFonts w:ascii="Arial" w:hAnsi="Arial"/>
              <w:lang w:val="fr-FR"/>
            </w:rPr>
            <w:t>ambiente</w:t>
          </w:r>
          <w:proofErr w:type="spellEnd"/>
          <w:r w:rsidRPr="003D19A7">
            <w:rPr>
              <w:rFonts w:ascii="Arial" w:hAnsi="Arial"/>
              <w:lang w:val="fr-FR"/>
            </w:rPr>
            <w:t xml:space="preserve">, </w:t>
          </w:r>
          <w:proofErr w:type="spellStart"/>
          <w:r w:rsidRPr="003D19A7">
            <w:rPr>
              <w:rFonts w:ascii="Arial" w:hAnsi="Arial"/>
              <w:lang w:val="fr-FR"/>
            </w:rPr>
            <w:t>tres</w:t>
          </w:r>
          <w:proofErr w:type="spellEnd"/>
          <w:r w:rsidRPr="003D19A7">
            <w:rPr>
              <w:rFonts w:ascii="Arial" w:hAnsi="Arial"/>
              <w:lang w:val="fr-FR"/>
            </w:rPr>
            <w:t xml:space="preserve"> </w:t>
          </w:r>
          <w:proofErr w:type="spellStart"/>
          <w:r w:rsidRPr="003D19A7">
            <w:rPr>
              <w:rFonts w:ascii="Arial" w:hAnsi="Arial"/>
              <w:lang w:val="fr-FR"/>
            </w:rPr>
            <w:t>conductas</w:t>
          </w:r>
          <w:proofErr w:type="spellEnd"/>
          <w:r w:rsidRPr="003D19A7">
            <w:rPr>
              <w:rFonts w:ascii="Arial" w:hAnsi="Arial"/>
              <w:lang w:val="fr-FR"/>
            </w:rPr>
            <w:t xml:space="preserve"> </w:t>
          </w:r>
          <w:proofErr w:type="spellStart"/>
          <w:r w:rsidRPr="003D19A7">
            <w:rPr>
              <w:rFonts w:ascii="Arial" w:hAnsi="Arial"/>
              <w:lang w:val="fr-FR"/>
            </w:rPr>
            <w:t>distintas</w:t>
          </w:r>
          <w:proofErr w:type="spellEnd"/>
          <w:r w:rsidRPr="003D19A7">
            <w:rPr>
              <w:rFonts w:ascii="Arial" w:hAnsi="Arial"/>
              <w:lang w:val="fr-FR"/>
            </w:rPr>
            <w:t xml:space="preserve">: la primera consiste, </w:t>
          </w:r>
          <w:proofErr w:type="spellStart"/>
          <w:r w:rsidRPr="003D19A7">
            <w:rPr>
              <w:rFonts w:ascii="Arial" w:hAnsi="Arial"/>
              <w:lang w:val="fr-FR"/>
            </w:rPr>
            <w:t>por</w:t>
          </w:r>
          <w:proofErr w:type="spellEnd"/>
          <w:r w:rsidRPr="003D19A7">
            <w:rPr>
              <w:rFonts w:ascii="Arial" w:hAnsi="Arial"/>
              <w:lang w:val="fr-FR"/>
            </w:rPr>
            <w:t xml:space="preserve"> lo que al </w:t>
          </w:r>
          <w:proofErr w:type="spellStart"/>
          <w:r w:rsidRPr="003D19A7">
            <w:rPr>
              <w:rFonts w:ascii="Arial" w:hAnsi="Arial"/>
              <w:lang w:val="fr-FR"/>
            </w:rPr>
            <w:t>caso</w:t>
          </w:r>
          <w:proofErr w:type="spellEnd"/>
          <w:r w:rsidRPr="003D19A7">
            <w:rPr>
              <w:rFonts w:ascii="Arial" w:hAnsi="Arial"/>
              <w:lang w:val="fr-FR"/>
            </w:rPr>
            <w:t xml:space="preserve"> importa, en el </w:t>
          </w:r>
          <w:proofErr w:type="spellStart"/>
          <w:r w:rsidRPr="003D19A7">
            <w:rPr>
              <w:rFonts w:ascii="Arial" w:hAnsi="Arial"/>
              <w:lang w:val="fr-FR"/>
            </w:rPr>
            <w:t>ejercicio</w:t>
          </w:r>
          <w:proofErr w:type="spellEnd"/>
          <w:r w:rsidRPr="003D19A7">
            <w:rPr>
              <w:rFonts w:ascii="Arial" w:hAnsi="Arial"/>
              <w:lang w:val="fr-FR"/>
            </w:rPr>
            <w:t xml:space="preserve"> de la </w:t>
          </w:r>
          <w:proofErr w:type="spellStart"/>
          <w:r w:rsidRPr="003D19A7">
            <w:rPr>
              <w:rFonts w:ascii="Arial" w:hAnsi="Arial"/>
              <w:lang w:val="fr-FR"/>
            </w:rPr>
            <w:t>actividad</w:t>
          </w:r>
          <w:proofErr w:type="spellEnd"/>
          <w:r w:rsidRPr="003D19A7">
            <w:rPr>
              <w:rFonts w:ascii="Arial" w:hAnsi="Arial"/>
              <w:lang w:val="fr-FR"/>
            </w:rPr>
            <w:t xml:space="preserve"> </w:t>
          </w:r>
          <w:proofErr w:type="spellStart"/>
          <w:r w:rsidRPr="003D19A7">
            <w:rPr>
              <w:rFonts w:ascii="Arial" w:hAnsi="Arial"/>
              <w:lang w:val="fr-FR"/>
            </w:rPr>
            <w:t>incumpliendo</w:t>
          </w:r>
          <w:proofErr w:type="spellEnd"/>
          <w:r w:rsidRPr="003D19A7">
            <w:rPr>
              <w:rFonts w:ascii="Arial" w:hAnsi="Arial"/>
              <w:lang w:val="fr-FR"/>
            </w:rPr>
            <w:t xml:space="preserve"> las </w:t>
          </w:r>
          <w:proofErr w:type="spellStart"/>
          <w:r w:rsidRPr="003D19A7">
            <w:rPr>
              <w:rFonts w:ascii="Arial" w:hAnsi="Arial"/>
              <w:lang w:val="fr-FR"/>
            </w:rPr>
            <w:t>obligaciones</w:t>
          </w:r>
          <w:proofErr w:type="spellEnd"/>
          <w:r w:rsidRPr="003D19A7">
            <w:rPr>
              <w:rFonts w:ascii="Arial" w:hAnsi="Arial"/>
              <w:lang w:val="fr-FR"/>
            </w:rPr>
            <w:t xml:space="preserve"> </w:t>
          </w:r>
          <w:proofErr w:type="spellStart"/>
          <w:r w:rsidRPr="003D19A7">
            <w:rPr>
              <w:rFonts w:ascii="Arial" w:hAnsi="Arial"/>
              <w:lang w:val="fr-FR"/>
            </w:rPr>
            <w:t>impuestas</w:t>
          </w:r>
          <w:proofErr w:type="spellEnd"/>
          <w:r w:rsidRPr="003D19A7">
            <w:rPr>
              <w:rFonts w:ascii="Arial" w:hAnsi="Arial"/>
              <w:lang w:val="fr-FR"/>
            </w:rPr>
            <w:t xml:space="preserve"> en la </w:t>
          </w:r>
          <w:proofErr w:type="spellStart"/>
          <w:r w:rsidRPr="003D19A7">
            <w:rPr>
              <w:rFonts w:ascii="Arial" w:hAnsi="Arial"/>
              <w:lang w:val="fr-FR"/>
            </w:rPr>
            <w:t>autorización</w:t>
          </w:r>
          <w:proofErr w:type="spellEnd"/>
          <w:r w:rsidRPr="003D19A7">
            <w:rPr>
              <w:rFonts w:ascii="Arial" w:hAnsi="Arial"/>
              <w:lang w:val="fr-FR"/>
            </w:rPr>
            <w:t xml:space="preserve"> de </w:t>
          </w:r>
          <w:proofErr w:type="spellStart"/>
          <w:r w:rsidRPr="003D19A7">
            <w:rPr>
              <w:rFonts w:ascii="Arial" w:hAnsi="Arial"/>
              <w:lang w:val="fr-FR"/>
            </w:rPr>
            <w:t>gestión</w:t>
          </w:r>
          <w:proofErr w:type="spellEnd"/>
          <w:r w:rsidRPr="003D19A7">
            <w:rPr>
              <w:rFonts w:ascii="Arial" w:hAnsi="Arial"/>
              <w:lang w:val="fr-FR"/>
            </w:rPr>
            <w:t xml:space="preserve">; la </w:t>
          </w:r>
          <w:proofErr w:type="spellStart"/>
          <w:r w:rsidRPr="003D19A7">
            <w:rPr>
              <w:rFonts w:ascii="Arial" w:hAnsi="Arial"/>
              <w:lang w:val="fr-FR"/>
            </w:rPr>
            <w:t>segunda</w:t>
          </w:r>
          <w:proofErr w:type="spellEnd"/>
          <w:r w:rsidRPr="003D19A7">
            <w:rPr>
              <w:rFonts w:ascii="Arial" w:hAnsi="Arial"/>
              <w:lang w:val="fr-FR"/>
            </w:rPr>
            <w:t>, en la “</w:t>
          </w:r>
          <w:proofErr w:type="spellStart"/>
          <w:r w:rsidRPr="003D19A7">
            <w:rPr>
              <w:rFonts w:ascii="Arial" w:hAnsi="Arial"/>
              <w:lang w:val="fr-FR"/>
            </w:rPr>
            <w:t>actuación</w:t>
          </w:r>
          <w:proofErr w:type="spellEnd"/>
          <w:r w:rsidRPr="003D19A7">
            <w:rPr>
              <w:rFonts w:ascii="Arial" w:hAnsi="Arial"/>
              <w:lang w:val="fr-FR"/>
            </w:rPr>
            <w:t xml:space="preserve"> en forma contraria a lo </w:t>
          </w:r>
          <w:proofErr w:type="spellStart"/>
          <w:r w:rsidRPr="003D19A7">
            <w:rPr>
              <w:rFonts w:ascii="Arial" w:hAnsi="Arial"/>
              <w:lang w:val="fr-FR"/>
            </w:rPr>
            <w:t>establecido</w:t>
          </w:r>
          <w:proofErr w:type="spellEnd"/>
          <w:r w:rsidRPr="003D19A7">
            <w:rPr>
              <w:rFonts w:ascii="Arial" w:hAnsi="Arial"/>
              <w:lang w:val="fr-FR"/>
            </w:rPr>
            <w:t xml:space="preserve"> en </w:t>
          </w:r>
          <w:proofErr w:type="spellStart"/>
          <w:r w:rsidRPr="003D19A7">
            <w:rPr>
              <w:rFonts w:ascii="Arial" w:hAnsi="Arial"/>
              <w:lang w:val="fr-FR"/>
            </w:rPr>
            <w:t>esta</w:t>
          </w:r>
          <w:proofErr w:type="spellEnd"/>
          <w:r w:rsidRPr="003D19A7">
            <w:rPr>
              <w:rFonts w:ascii="Arial" w:hAnsi="Arial"/>
              <w:lang w:val="fr-FR"/>
            </w:rPr>
            <w:t xml:space="preserve"> Ley y en sus normas de </w:t>
          </w:r>
          <w:proofErr w:type="spellStart"/>
          <w:r w:rsidRPr="003D19A7">
            <w:rPr>
              <w:rFonts w:ascii="Arial" w:hAnsi="Arial"/>
              <w:lang w:val="fr-FR"/>
            </w:rPr>
            <w:t>desarrollo</w:t>
          </w:r>
          <w:proofErr w:type="spellEnd"/>
          <w:r w:rsidRPr="003D19A7">
            <w:rPr>
              <w:rFonts w:ascii="Arial" w:hAnsi="Arial"/>
              <w:lang w:val="fr-FR"/>
            </w:rPr>
            <w:t xml:space="preserve">” y la tercera, en fin, en el </w:t>
          </w:r>
          <w:proofErr w:type="spellStart"/>
          <w:r w:rsidRPr="003D19A7">
            <w:rPr>
              <w:rFonts w:ascii="Arial" w:hAnsi="Arial"/>
              <w:lang w:val="fr-FR"/>
            </w:rPr>
            <w:t>abandono</w:t>
          </w:r>
          <w:proofErr w:type="spellEnd"/>
          <w:r w:rsidRPr="003D19A7">
            <w:rPr>
              <w:rFonts w:ascii="Arial" w:hAnsi="Arial"/>
              <w:lang w:val="fr-FR"/>
            </w:rPr>
            <w:t xml:space="preserve">, </w:t>
          </w:r>
          <w:proofErr w:type="spellStart"/>
          <w:r w:rsidRPr="003D19A7">
            <w:rPr>
              <w:rFonts w:ascii="Arial" w:hAnsi="Arial"/>
              <w:lang w:val="fr-FR"/>
            </w:rPr>
            <w:t>vertido</w:t>
          </w:r>
          <w:proofErr w:type="spellEnd"/>
          <w:r w:rsidRPr="003D19A7">
            <w:rPr>
              <w:rFonts w:ascii="Arial" w:hAnsi="Arial"/>
              <w:lang w:val="fr-FR"/>
            </w:rPr>
            <w:t xml:space="preserve"> o </w:t>
          </w:r>
          <w:proofErr w:type="spellStart"/>
          <w:r w:rsidRPr="003D19A7">
            <w:rPr>
              <w:rFonts w:ascii="Arial" w:hAnsi="Arial"/>
              <w:lang w:val="fr-FR"/>
            </w:rPr>
            <w:t>eliminación</w:t>
          </w:r>
          <w:proofErr w:type="spellEnd"/>
          <w:r w:rsidRPr="003D19A7">
            <w:rPr>
              <w:rFonts w:ascii="Arial" w:hAnsi="Arial"/>
              <w:lang w:val="fr-FR"/>
            </w:rPr>
            <w:t xml:space="preserve"> </w:t>
          </w:r>
          <w:proofErr w:type="spellStart"/>
          <w:r w:rsidRPr="003D19A7">
            <w:rPr>
              <w:rFonts w:ascii="Arial" w:hAnsi="Arial"/>
              <w:lang w:val="fr-FR"/>
            </w:rPr>
            <w:t>incontrolada</w:t>
          </w:r>
          <w:proofErr w:type="spellEnd"/>
          <w:r w:rsidRPr="003D19A7">
            <w:rPr>
              <w:rFonts w:ascii="Arial" w:hAnsi="Arial"/>
              <w:lang w:val="fr-FR"/>
            </w:rPr>
            <w:t xml:space="preserve"> de </w:t>
          </w:r>
          <w:proofErr w:type="spellStart"/>
          <w:r w:rsidRPr="003D19A7">
            <w:rPr>
              <w:rFonts w:ascii="Arial" w:hAnsi="Arial"/>
              <w:lang w:val="fr-FR"/>
            </w:rPr>
            <w:t>residuos</w:t>
          </w:r>
          <w:proofErr w:type="spellEnd"/>
          <w:r w:rsidRPr="003D19A7">
            <w:rPr>
              <w:rFonts w:ascii="Arial" w:hAnsi="Arial"/>
              <w:lang w:val="fr-FR"/>
            </w:rPr>
            <w:t xml:space="preserve"> no </w:t>
          </w:r>
          <w:proofErr w:type="spellStart"/>
          <w:r w:rsidRPr="003D19A7">
            <w:rPr>
              <w:rFonts w:ascii="Arial" w:hAnsi="Arial"/>
              <w:lang w:val="fr-FR"/>
            </w:rPr>
            <w:t>peligrosos</w:t>
          </w:r>
          <w:proofErr w:type="spellEnd"/>
          <w:r w:rsidRPr="003D19A7">
            <w:rPr>
              <w:rFonts w:ascii="Arial" w:hAnsi="Arial"/>
              <w:lang w:val="fr-FR"/>
            </w:rPr>
            <w:t xml:space="preserve">. La </w:t>
          </w:r>
          <w:proofErr w:type="spellStart"/>
          <w:r w:rsidRPr="003D19A7">
            <w:rPr>
              <w:rFonts w:ascii="Arial" w:hAnsi="Arial"/>
              <w:lang w:val="fr-FR"/>
            </w:rPr>
            <w:t>sanción</w:t>
          </w:r>
          <w:proofErr w:type="spellEnd"/>
          <w:r w:rsidRPr="003D19A7">
            <w:rPr>
              <w:rFonts w:ascii="Arial" w:hAnsi="Arial"/>
              <w:lang w:val="fr-FR"/>
            </w:rPr>
            <w:t xml:space="preserve"> </w:t>
          </w:r>
          <w:proofErr w:type="spellStart"/>
          <w:r w:rsidRPr="003D19A7">
            <w:rPr>
              <w:rFonts w:ascii="Arial" w:hAnsi="Arial"/>
              <w:lang w:val="fr-FR"/>
            </w:rPr>
            <w:t>impuesta</w:t>
          </w:r>
          <w:proofErr w:type="spellEnd"/>
          <w:r w:rsidRPr="003D19A7">
            <w:rPr>
              <w:rFonts w:ascii="Arial" w:hAnsi="Arial"/>
              <w:lang w:val="fr-FR"/>
            </w:rPr>
            <w:t xml:space="preserve"> </w:t>
          </w:r>
          <w:proofErr w:type="spellStart"/>
          <w:r w:rsidRPr="003D19A7">
            <w:rPr>
              <w:rFonts w:ascii="Arial" w:hAnsi="Arial"/>
              <w:lang w:val="fr-FR"/>
            </w:rPr>
            <w:t>consistió</w:t>
          </w:r>
          <w:proofErr w:type="spellEnd"/>
          <w:r w:rsidRPr="003D19A7">
            <w:rPr>
              <w:rFonts w:ascii="Arial" w:hAnsi="Arial"/>
              <w:lang w:val="fr-FR"/>
            </w:rPr>
            <w:t xml:space="preserve"> en </w:t>
          </w:r>
          <w:proofErr w:type="spellStart"/>
          <w:r w:rsidRPr="003D19A7">
            <w:rPr>
              <w:rFonts w:ascii="Arial" w:hAnsi="Arial"/>
              <w:lang w:val="fr-FR"/>
            </w:rPr>
            <w:t>una</w:t>
          </w:r>
          <w:proofErr w:type="spellEnd"/>
          <w:r w:rsidRPr="003D19A7">
            <w:rPr>
              <w:rFonts w:ascii="Arial" w:hAnsi="Arial"/>
              <w:lang w:val="fr-FR"/>
            </w:rPr>
            <w:t xml:space="preserve"> </w:t>
          </w:r>
          <w:proofErr w:type="spellStart"/>
          <w:r w:rsidRPr="003D19A7">
            <w:rPr>
              <w:rFonts w:ascii="Arial" w:hAnsi="Arial"/>
              <w:lang w:val="fr-FR"/>
            </w:rPr>
            <w:t>multa</w:t>
          </w:r>
          <w:proofErr w:type="spellEnd"/>
          <w:r w:rsidRPr="003D19A7">
            <w:rPr>
              <w:rFonts w:ascii="Arial" w:hAnsi="Arial"/>
              <w:lang w:val="fr-FR"/>
            </w:rPr>
            <w:t xml:space="preserve"> de 30.000 euros y, al </w:t>
          </w:r>
          <w:proofErr w:type="spellStart"/>
          <w:r w:rsidRPr="003D19A7">
            <w:rPr>
              <w:rFonts w:ascii="Arial" w:hAnsi="Arial"/>
              <w:lang w:val="fr-FR"/>
            </w:rPr>
            <w:t>parecer</w:t>
          </w:r>
          <w:proofErr w:type="spellEnd"/>
          <w:r w:rsidRPr="003D19A7">
            <w:rPr>
              <w:rFonts w:ascii="Arial" w:hAnsi="Arial"/>
              <w:lang w:val="fr-FR"/>
            </w:rPr>
            <w:t xml:space="preserve">, </w:t>
          </w:r>
          <w:proofErr w:type="spellStart"/>
          <w:r w:rsidRPr="003D19A7">
            <w:rPr>
              <w:rFonts w:ascii="Arial" w:hAnsi="Arial"/>
              <w:lang w:val="fr-FR"/>
            </w:rPr>
            <w:t>también</w:t>
          </w:r>
          <w:proofErr w:type="spellEnd"/>
          <w:r w:rsidRPr="003D19A7">
            <w:rPr>
              <w:rFonts w:ascii="Arial" w:hAnsi="Arial"/>
              <w:lang w:val="fr-FR"/>
            </w:rPr>
            <w:t xml:space="preserve"> en “la </w:t>
          </w:r>
          <w:proofErr w:type="spellStart"/>
          <w:r w:rsidRPr="003D19A7">
            <w:rPr>
              <w:rFonts w:ascii="Arial" w:hAnsi="Arial"/>
              <w:lang w:val="fr-FR"/>
            </w:rPr>
            <w:t>revocación</w:t>
          </w:r>
          <w:proofErr w:type="spellEnd"/>
          <w:r w:rsidRPr="003D19A7">
            <w:rPr>
              <w:rFonts w:ascii="Arial" w:hAnsi="Arial"/>
              <w:lang w:val="fr-FR"/>
            </w:rPr>
            <w:t xml:space="preserve">” (sic) de la </w:t>
          </w:r>
          <w:proofErr w:type="spellStart"/>
          <w:r w:rsidRPr="003D19A7">
            <w:rPr>
              <w:rFonts w:ascii="Arial" w:hAnsi="Arial"/>
              <w:lang w:val="fr-FR"/>
            </w:rPr>
            <w:t>autorización</w:t>
          </w:r>
          <w:proofErr w:type="spellEnd"/>
          <w:r w:rsidRPr="003D19A7">
            <w:rPr>
              <w:rFonts w:ascii="Arial" w:hAnsi="Arial"/>
              <w:lang w:val="fr-FR"/>
            </w:rPr>
            <w:t>, bien que “</w:t>
          </w:r>
          <w:proofErr w:type="spellStart"/>
          <w:r w:rsidRPr="003D19A7">
            <w:rPr>
              <w:rFonts w:ascii="Arial" w:hAnsi="Arial"/>
              <w:lang w:val="fr-FR"/>
            </w:rPr>
            <w:t>por</w:t>
          </w:r>
          <w:proofErr w:type="spellEnd"/>
          <w:r w:rsidRPr="003D19A7">
            <w:rPr>
              <w:rFonts w:ascii="Arial" w:hAnsi="Arial"/>
              <w:lang w:val="fr-FR"/>
            </w:rPr>
            <w:t xml:space="preserve"> el </w:t>
          </w:r>
          <w:proofErr w:type="spellStart"/>
          <w:r w:rsidRPr="003D19A7">
            <w:rPr>
              <w:rFonts w:ascii="Arial" w:hAnsi="Arial"/>
              <w:lang w:val="fr-FR"/>
            </w:rPr>
            <w:t>plazo</w:t>
          </w:r>
          <w:proofErr w:type="spellEnd"/>
          <w:r w:rsidRPr="003D19A7">
            <w:rPr>
              <w:rFonts w:ascii="Arial" w:hAnsi="Arial"/>
              <w:lang w:val="fr-FR"/>
            </w:rPr>
            <w:t xml:space="preserve"> </w:t>
          </w:r>
          <w:proofErr w:type="gramStart"/>
          <w:r w:rsidRPr="003D19A7">
            <w:rPr>
              <w:rFonts w:ascii="Arial" w:hAnsi="Arial"/>
              <w:lang w:val="fr-FR"/>
            </w:rPr>
            <w:t>de un</w:t>
          </w:r>
          <w:proofErr w:type="gramEnd"/>
          <w:r w:rsidRPr="003D19A7">
            <w:rPr>
              <w:rFonts w:ascii="Arial" w:hAnsi="Arial"/>
              <w:lang w:val="fr-FR"/>
            </w:rPr>
            <w:t xml:space="preserve"> </w:t>
          </w:r>
          <w:proofErr w:type="spellStart"/>
          <w:r w:rsidRPr="003D19A7">
            <w:rPr>
              <w:rFonts w:ascii="Arial" w:hAnsi="Arial"/>
              <w:lang w:val="fr-FR"/>
            </w:rPr>
            <w:t>año</w:t>
          </w:r>
          <w:proofErr w:type="spellEnd"/>
          <w:r w:rsidRPr="003D19A7">
            <w:rPr>
              <w:rFonts w:ascii="Arial" w:hAnsi="Arial"/>
              <w:lang w:val="fr-FR"/>
            </w:rPr>
            <w:t>”.</w:t>
          </w:r>
        </w:p>
        <w:p w14:paraId="68491FEB" w14:textId="77777777" w:rsidR="003D19A7" w:rsidRDefault="003D19A7" w:rsidP="00BC14E3">
          <w:pPr>
            <w:rPr>
              <w:rFonts w:ascii="Arial" w:hAnsi="Arial"/>
              <w:lang w:val="es-ES_tradnl"/>
            </w:rPr>
          </w:pPr>
          <w:r w:rsidRPr="003D19A7">
            <w:rPr>
              <w:rFonts w:ascii="Arial" w:hAnsi="Arial"/>
              <w:lang w:val="es-ES_tradnl"/>
            </w:rPr>
            <w:t xml:space="preserve">Contra esas sanciones se interpone por el gestor recurso contencioso-administrativo en cuya demanda se formula, como pretensión principal, su “anulación” y, como pretensión subsidiaria, su sustitución por otras más acordes con el principio de proporcionalidad. La pretensión principal no prospera porque los informes que obran en el expediente acreditan la existencia de numerosos incumplimientos. Entre ellos, por ejemplo, “que se admiten los residuos sin pesaje previo, los residuos admitidos no se depositan en el espacio habilitado al </w:t>
          </w:r>
          <w:proofErr w:type="gramStart"/>
          <w:r w:rsidRPr="003D19A7">
            <w:rPr>
              <w:rFonts w:ascii="Arial" w:hAnsi="Arial"/>
              <w:lang w:val="es-ES_tradnl"/>
            </w:rPr>
            <w:t>efecto</w:t>
          </w:r>
          <w:proofErr w:type="gramEnd"/>
          <w:r w:rsidRPr="003D19A7">
            <w:rPr>
              <w:rFonts w:ascii="Arial" w:hAnsi="Arial"/>
              <w:lang w:val="es-ES_tradnl"/>
            </w:rPr>
            <w:t xml:space="preserve"> sino que son vertidos directamente sobre el terreno y no hay constancia de que se realicen tratamientos previos para quitar los residuos impropios”, “que se han hecho obras” no previstas en el proyecto, o que no se cumplen las características exigidas de vallado. </w:t>
          </w:r>
          <w:proofErr w:type="gramStart"/>
          <w:r w:rsidRPr="003D19A7">
            <w:rPr>
              <w:rFonts w:ascii="Arial" w:hAnsi="Arial"/>
              <w:lang w:val="es-ES_tradnl"/>
            </w:rPr>
            <w:t>Puestas</w:t>
          </w:r>
          <w:proofErr w:type="gramEnd"/>
          <w:r w:rsidRPr="003D19A7">
            <w:rPr>
              <w:rFonts w:ascii="Arial" w:hAnsi="Arial"/>
              <w:lang w:val="es-ES_tradnl"/>
            </w:rPr>
            <w:t xml:space="preserve"> así las cosas, la Sala concluye que “para demostrar la disconformidad del recurrente respecto a la calificación jurídica de los hechos sancionables, no se ha aportado por la mercantil prueba suficiente que desvirtúe las actuaciones objeto de sanción”.</w:t>
          </w:r>
        </w:p>
        <w:p w14:paraId="2BED703C" w14:textId="4FA49921" w:rsidR="00BC14E3" w:rsidRPr="00740B4F" w:rsidRDefault="001A7319" w:rsidP="00BC14E3">
          <w:pPr>
            <w:rPr>
              <w:rFonts w:ascii="Arial" w:hAnsi="Arial"/>
              <w:lang w:val="es-ES_tradnl"/>
            </w:rPr>
          </w:pPr>
          <w:r w:rsidRPr="001A7319">
            <w:rPr>
              <w:rFonts w:ascii="Arial" w:hAnsi="Arial"/>
              <w:lang w:val="es-ES_tradnl"/>
            </w:rPr>
            <w:lastRenderedPageBreak/>
            <w:t>No obstante, la pretensión subsidiaria sí prospera porque “si bien es cierto que esta Sala considera que la recurrente ha realizado una actuación sancionable conforme al artículo 46.3 LRSC, sin embargo, no se ha efectuado un juicio de proporcionalidad en la sanción a imponer ni justificación de la graduación de la sanción impuesta; la administración sancionadora no ha acreditado los criterios que llevan a la imposición de la sanción adoptada”</w:t>
          </w:r>
          <w:r w:rsidR="005E1D27">
            <w:rPr>
              <w:rStyle w:val="Refdenotaalpie"/>
              <w:lang w:val="es-ES_tradnl"/>
            </w:rPr>
            <w:footnoteReference w:id="9"/>
          </w:r>
          <w:r w:rsidRPr="001A7319">
            <w:rPr>
              <w:rFonts w:ascii="Arial" w:hAnsi="Arial"/>
              <w:lang w:val="es-ES_tradnl"/>
            </w:rPr>
            <w:t xml:space="preserve">. Más precisamente, “no se explicita por parte de la Administración sancionadora la aplicación de los criterios que el artículo 48 LRSC establece relevantes para efectuar la debida graduación de las sanciones. La resolución </w:t>
          </w:r>
          <w:proofErr w:type="spellStart"/>
          <w:r w:rsidRPr="001A7319">
            <w:rPr>
              <w:rFonts w:ascii="Arial" w:hAnsi="Arial"/>
              <w:lang w:val="es-ES_tradnl"/>
            </w:rPr>
            <w:t>nº</w:t>
          </w:r>
          <w:proofErr w:type="spellEnd"/>
          <w:r w:rsidRPr="001A7319">
            <w:rPr>
              <w:rFonts w:ascii="Arial" w:hAnsi="Arial"/>
              <w:lang w:val="es-ES_tradnl"/>
            </w:rPr>
            <w:t xml:space="preserve"> 57 de la que trae causa el presente recurso, detalla los hechos denunciados y los artículos que tipifican los hechos objeto de sanción” [artículos 46.3.a), 46.3.b) y 46.3.c) LRSC], “sin embargo, la sanción se establece de forma conjunta, sin distinguir cada un</w:t>
          </w:r>
          <w:r w:rsidR="00DE7601">
            <w:rPr>
              <w:rFonts w:ascii="Arial" w:hAnsi="Arial"/>
              <w:lang w:val="es-ES_tradnl"/>
            </w:rPr>
            <w:t>a</w:t>
          </w:r>
          <w:r w:rsidRPr="001A7319">
            <w:rPr>
              <w:rFonts w:ascii="Arial" w:hAnsi="Arial"/>
              <w:lang w:val="es-ES_tradnl"/>
            </w:rPr>
            <w:t xml:space="preserve"> de las infracciones. Debería haberse detallado la correspondiente individualización de las conductas infractoras y la asignación a cada una de ellas de la sanción correspondiente, fundamentando y justificando la cuantía de multa a imponer, teniendo en cuenta los criterios establecidos en el artículo 48 LRSC”. Por consiguiente, el fallo estima parcialmente el recurso y revoca “sólo la resolución en lo que a la sanción pecuniaria a imponer se refiere”, que, de 30.000 euros, pasa a quedar en 10.000.</w:t>
          </w:r>
        </w:p>
      </w:sdtContent>
    </w:sdt>
    <w:p w14:paraId="4088953E" w14:textId="06B60F78" w:rsidR="00BC14E3" w:rsidRPr="005E1D27" w:rsidRDefault="001D398B" w:rsidP="00BC14E3">
      <w:pPr>
        <w:pStyle w:val="Ttulo1"/>
        <w:rPr>
          <w:rFonts w:ascii="Arial" w:hAnsi="Arial"/>
          <w:lang w:val="es-ES"/>
        </w:rPr>
      </w:pPr>
      <w:r w:rsidRPr="005E1D27">
        <w:rPr>
          <w:rFonts w:ascii="Arial" w:hAnsi="Arial"/>
          <w:lang w:val="es-ES"/>
        </w:rPr>
        <w:t>5</w:t>
      </w:r>
      <w:r w:rsidR="00BC14E3" w:rsidRPr="005E1D27">
        <w:rPr>
          <w:rFonts w:ascii="Arial" w:hAnsi="Arial"/>
          <w:lang w:val="es-ES"/>
        </w:rPr>
        <w:t xml:space="preserve">. </w:t>
      </w:r>
      <w:r w:rsidRPr="005E1D27">
        <w:rPr>
          <w:rFonts w:ascii="Arial" w:hAnsi="Arial"/>
          <w:lang w:val="es-ES"/>
        </w:rPr>
        <w:t>AGRICULTURA</w:t>
      </w:r>
    </w:p>
    <w:p w14:paraId="26390BBD" w14:textId="77777777" w:rsidR="001A7319" w:rsidRPr="005E1D27" w:rsidRDefault="001A7319" w:rsidP="001A7319">
      <w:pPr>
        <w:pStyle w:val="Ttulo2"/>
        <w:rPr>
          <w:lang w:val="es-ES"/>
        </w:rPr>
      </w:pPr>
      <w:r w:rsidRPr="005E1D27">
        <w:rPr>
          <w:lang w:val="es-ES"/>
        </w:rPr>
        <w:t>5.1. Producción agraria ecológica</w:t>
      </w:r>
    </w:p>
    <w:p w14:paraId="474563F8" w14:textId="0C8EDE37" w:rsidR="005E1D27" w:rsidRDefault="005E1D27" w:rsidP="00BC14E3">
      <w:pPr>
        <w:rPr>
          <w:rFonts w:ascii="Arial" w:hAnsi="Arial"/>
          <w:lang w:val="es-ES"/>
        </w:rPr>
      </w:pPr>
      <w:r w:rsidRPr="005E1D27">
        <w:rPr>
          <w:rFonts w:ascii="Arial" w:hAnsi="Arial"/>
          <w:lang w:val="es-ES"/>
        </w:rPr>
        <w:t xml:space="preserve">Muy interesante resulta, ya en otro orden de consideraciones que rebasan con mucho el campo propio de lo estrictamente ambiental, la Sentencia del Tribunal Superior de Justicia de La Rioja de 10 de enero de 2022 (ponente Escanilla Pallás). En ella se desestima el recurso contencioso-administrativo interpuesto contra resolución de la Consejería de Consejería de Agricultura, Ganadería, Mundo Rural, Territorio y Población del Gobierno de La Rioja que había denegado solicitud de cierta mercantil (Servicio de Certificación CAAE SLU) para operar como organismo de control y certificación de la producción ecológica en el ámbito territorial de La Rioja. </w:t>
      </w:r>
      <w:r w:rsidRPr="009C3936">
        <w:rPr>
          <w:rFonts w:ascii="Arial" w:hAnsi="Arial"/>
          <w:lang w:val="es-ES"/>
        </w:rPr>
        <w:t>En realidad, entrañaba una</w:t>
      </w:r>
      <w:r w:rsidR="009C3936" w:rsidRPr="009C3936">
        <w:rPr>
          <w:rFonts w:ascii="Arial" w:hAnsi="Arial"/>
          <w:lang w:val="es-ES"/>
        </w:rPr>
        <w:t xml:space="preserve"> </w:t>
      </w:r>
      <w:r w:rsidR="009C3936" w:rsidRPr="009C3936">
        <w:rPr>
          <w:rFonts w:ascii="Arial" w:hAnsi="Arial"/>
          <w:lang w:val="es-ES"/>
        </w:rPr>
        <w:lastRenderedPageBreak/>
        <w:t>impugnación indirecta del Decreto 21/2019, de 31 de mayo, por el que se regula el ejercicio de funciones en materia certificación y control de la producción ecológica en La Rioja y se aprueba el Reglamento de Funcionamiento y Régimen Interno del Consejo de la Producción Agraria Ecológica de La Rioja</w:t>
      </w:r>
      <w:r w:rsidR="00041581">
        <w:rPr>
          <w:rStyle w:val="Refdenotaalpie"/>
          <w:lang w:val="es-ES"/>
        </w:rPr>
        <w:footnoteReference w:id="10"/>
      </w:r>
      <w:r w:rsidR="009C3936" w:rsidRPr="009C3936">
        <w:rPr>
          <w:rFonts w:ascii="Arial" w:hAnsi="Arial"/>
          <w:lang w:val="es-ES"/>
        </w:rPr>
        <w:t>. Pero la Sala respalda su validez al rechazar que “el monopolio público de servicios que ostenta la Comunidad Autónoma de La Rioja” al respecto vulnere ni el Derecho comunitario (Reglamento 834/2007 y Directiva de servicios), ni la Ley 20/2013 de 9 de diciembre, de garantía de la unidad de mercado ni la Ley 17/2009, de 23 de noviembre, sobre el libre acceso a las actividades de servicios y su ejercicio.</w:t>
      </w:r>
    </w:p>
    <w:p w14:paraId="6017B292" w14:textId="75CB1951" w:rsidR="00BC14E3" w:rsidRPr="00740B4F" w:rsidRDefault="009C3936" w:rsidP="00BC14E3">
      <w:pPr>
        <w:rPr>
          <w:rFonts w:ascii="Arial" w:hAnsi="Arial"/>
          <w:lang w:val="es-ES"/>
        </w:rPr>
      </w:pPr>
      <w:r w:rsidRPr="009C3936">
        <w:rPr>
          <w:rFonts w:ascii="Arial" w:hAnsi="Arial"/>
          <w:lang w:val="es-ES"/>
        </w:rPr>
        <w:t xml:space="preserve">El fallo es </w:t>
      </w:r>
      <w:proofErr w:type="gramStart"/>
      <w:r w:rsidRPr="009C3936">
        <w:rPr>
          <w:rFonts w:ascii="Arial" w:hAnsi="Arial"/>
          <w:lang w:val="es-ES"/>
        </w:rPr>
        <w:t>acertado</w:t>
      </w:r>
      <w:proofErr w:type="gramEnd"/>
      <w:r w:rsidRPr="009C3936">
        <w:rPr>
          <w:rFonts w:ascii="Arial" w:hAnsi="Arial"/>
          <w:lang w:val="es-ES"/>
        </w:rPr>
        <w:t xml:space="preserve"> aunque la fundamentación se podría mejorar empezando por explicar por qué se sigue manejando en todo momento el Reglamento (CE) </w:t>
      </w:r>
      <w:proofErr w:type="spellStart"/>
      <w:r w:rsidRPr="009C3936">
        <w:rPr>
          <w:rFonts w:ascii="Arial" w:hAnsi="Arial"/>
          <w:lang w:val="es-ES"/>
        </w:rPr>
        <w:t>nº</w:t>
      </w:r>
      <w:proofErr w:type="spellEnd"/>
      <w:r w:rsidRPr="009C3936">
        <w:rPr>
          <w:rFonts w:ascii="Arial" w:hAnsi="Arial"/>
          <w:lang w:val="es-ES"/>
        </w:rPr>
        <w:t xml:space="preserve"> 834/2007 y no se hace ni la más mínima mención al Reglamento (UE) 2018/848 del Parlamento Europeo y del Consejo, de 30 de mayo de 2018, sobre producción ecológica y etiquetado de los productos ecológicos y por el que se deroga el Reglamento (CE) </w:t>
      </w:r>
      <w:proofErr w:type="spellStart"/>
      <w:r w:rsidRPr="009C3936">
        <w:rPr>
          <w:rFonts w:ascii="Arial" w:hAnsi="Arial"/>
          <w:lang w:val="es-ES"/>
        </w:rPr>
        <w:t>nº</w:t>
      </w:r>
      <w:proofErr w:type="spellEnd"/>
      <w:r w:rsidRPr="009C3936">
        <w:rPr>
          <w:rFonts w:ascii="Arial" w:hAnsi="Arial"/>
          <w:lang w:val="es-ES"/>
        </w:rPr>
        <w:t xml:space="preserve"> 834/2007 del Consejo. Máxime cuando es al Reglamento 2018/848 al que pretendía adaptarse el Decreto riojano 21/2019.</w:t>
      </w:r>
    </w:p>
    <w:p w14:paraId="007FB968" w14:textId="19A1DD87" w:rsidR="001D398B" w:rsidRPr="00EF5A59" w:rsidRDefault="001D398B" w:rsidP="001D398B">
      <w:pPr>
        <w:pStyle w:val="Ttulo2"/>
        <w:rPr>
          <w:lang w:val="es-ES"/>
        </w:rPr>
      </w:pPr>
      <w:r w:rsidRPr="00EF5A59">
        <w:rPr>
          <w:lang w:val="es-ES"/>
        </w:rPr>
        <w:t>5.</w:t>
      </w:r>
      <w:r w:rsidRPr="00EF5A59">
        <w:rPr>
          <w:lang w:val="es-ES"/>
        </w:rPr>
        <w:t>2</w:t>
      </w:r>
      <w:r w:rsidRPr="00EF5A59">
        <w:rPr>
          <w:lang w:val="es-ES"/>
        </w:rPr>
        <w:t>. P</w:t>
      </w:r>
      <w:r w:rsidR="00EF5A59" w:rsidRPr="00EF5A59">
        <w:rPr>
          <w:lang w:val="es-ES"/>
        </w:rPr>
        <w:t>olítica Agraria Común: pago verde</w:t>
      </w:r>
    </w:p>
    <w:sdt>
      <w:sdtPr>
        <w:rPr>
          <w:rFonts w:ascii="Arial" w:hAnsi="Arial"/>
          <w:lang w:val="fr-FR"/>
        </w:rPr>
        <w:id w:val="313065054"/>
        <w:placeholder>
          <w:docPart w:val="1C88C1E9A0BB4712A6034E28E178F30A"/>
        </w:placeholder>
      </w:sdtPr>
      <w:sdtContent>
        <w:p w14:paraId="082A767D" w14:textId="1A332C8B" w:rsidR="00BC14E3" w:rsidRPr="00F24487" w:rsidRDefault="00345D93" w:rsidP="001D398B">
          <w:pPr>
            <w:rPr>
              <w:rFonts w:ascii="Arial" w:hAnsi="Arial"/>
              <w:lang w:val="es-ES"/>
            </w:rPr>
          </w:pPr>
          <w:proofErr w:type="spellStart"/>
          <w:r w:rsidRPr="00345D93">
            <w:rPr>
              <w:rFonts w:ascii="Arial" w:hAnsi="Arial"/>
              <w:lang w:val="fr-FR"/>
            </w:rPr>
            <w:t>Cumple</w:t>
          </w:r>
          <w:proofErr w:type="spellEnd"/>
          <w:r w:rsidRPr="00345D93">
            <w:rPr>
              <w:rFonts w:ascii="Arial" w:hAnsi="Arial"/>
              <w:lang w:val="fr-FR"/>
            </w:rPr>
            <w:t xml:space="preserve"> </w:t>
          </w:r>
          <w:proofErr w:type="spellStart"/>
          <w:r w:rsidRPr="00345D93">
            <w:rPr>
              <w:rFonts w:ascii="Arial" w:hAnsi="Arial"/>
              <w:lang w:val="fr-FR"/>
            </w:rPr>
            <w:t>reseñar</w:t>
          </w:r>
          <w:proofErr w:type="spellEnd"/>
          <w:r w:rsidRPr="00345D93">
            <w:rPr>
              <w:rFonts w:ascii="Arial" w:hAnsi="Arial"/>
              <w:lang w:val="fr-FR"/>
            </w:rPr>
            <w:t xml:space="preserve">, en fin, la Sentencia </w:t>
          </w:r>
          <w:proofErr w:type="spellStart"/>
          <w:r w:rsidRPr="00345D93">
            <w:rPr>
              <w:rFonts w:ascii="Arial" w:hAnsi="Arial"/>
              <w:lang w:val="fr-FR"/>
            </w:rPr>
            <w:t>del</w:t>
          </w:r>
          <w:proofErr w:type="spellEnd"/>
          <w:r w:rsidRPr="00345D93">
            <w:rPr>
              <w:rFonts w:ascii="Arial" w:hAnsi="Arial"/>
              <w:lang w:val="fr-FR"/>
            </w:rPr>
            <w:t xml:space="preserve"> Tribunal Superior de </w:t>
          </w:r>
          <w:proofErr w:type="spellStart"/>
          <w:r w:rsidRPr="00345D93">
            <w:rPr>
              <w:rFonts w:ascii="Arial" w:hAnsi="Arial"/>
              <w:lang w:val="fr-FR"/>
            </w:rPr>
            <w:t>Justicia</w:t>
          </w:r>
          <w:proofErr w:type="spellEnd"/>
          <w:r w:rsidRPr="00345D93">
            <w:rPr>
              <w:rFonts w:ascii="Arial" w:hAnsi="Arial"/>
              <w:lang w:val="fr-FR"/>
            </w:rPr>
            <w:t xml:space="preserve"> de La Rioja de 19 de mayo de 2022 (</w:t>
          </w:r>
          <w:proofErr w:type="spellStart"/>
          <w:r w:rsidRPr="00345D93">
            <w:rPr>
              <w:rFonts w:ascii="Arial" w:hAnsi="Arial"/>
              <w:lang w:val="fr-FR"/>
            </w:rPr>
            <w:t>ponente</w:t>
          </w:r>
          <w:proofErr w:type="spellEnd"/>
          <w:r w:rsidRPr="00345D93">
            <w:rPr>
              <w:rFonts w:ascii="Arial" w:hAnsi="Arial"/>
              <w:lang w:val="fr-FR"/>
            </w:rPr>
            <w:t xml:space="preserve"> Matute Lozano). En </w:t>
          </w:r>
          <w:proofErr w:type="spellStart"/>
          <w:r w:rsidRPr="00345D93">
            <w:rPr>
              <w:rFonts w:ascii="Arial" w:hAnsi="Arial"/>
              <w:lang w:val="fr-FR"/>
            </w:rPr>
            <w:t>ella</w:t>
          </w:r>
          <w:proofErr w:type="spellEnd"/>
          <w:r w:rsidRPr="00345D93">
            <w:rPr>
              <w:rFonts w:ascii="Arial" w:hAnsi="Arial"/>
              <w:lang w:val="fr-FR"/>
            </w:rPr>
            <w:t xml:space="preserve"> la Sala </w:t>
          </w:r>
          <w:proofErr w:type="spellStart"/>
          <w:r w:rsidRPr="00345D93">
            <w:rPr>
              <w:rFonts w:ascii="Arial" w:hAnsi="Arial"/>
              <w:lang w:val="fr-FR"/>
            </w:rPr>
            <w:t>desestima</w:t>
          </w:r>
          <w:proofErr w:type="spellEnd"/>
          <w:r w:rsidRPr="00345D93">
            <w:rPr>
              <w:rFonts w:ascii="Arial" w:hAnsi="Arial"/>
              <w:lang w:val="fr-FR"/>
            </w:rPr>
            <w:t xml:space="preserve"> </w:t>
          </w:r>
          <w:proofErr w:type="spellStart"/>
          <w:r w:rsidRPr="00345D93">
            <w:rPr>
              <w:rFonts w:ascii="Arial" w:hAnsi="Arial"/>
              <w:lang w:val="fr-FR"/>
            </w:rPr>
            <w:t>recurso</w:t>
          </w:r>
          <w:proofErr w:type="spellEnd"/>
          <w:r w:rsidRPr="00345D93">
            <w:rPr>
              <w:rFonts w:ascii="Arial" w:hAnsi="Arial"/>
              <w:lang w:val="fr-FR"/>
            </w:rPr>
            <w:t xml:space="preserve"> contra </w:t>
          </w:r>
          <w:proofErr w:type="spellStart"/>
          <w:r w:rsidRPr="00345D93">
            <w:rPr>
              <w:rFonts w:ascii="Arial" w:hAnsi="Arial"/>
              <w:lang w:val="fr-FR"/>
            </w:rPr>
            <w:t>requerimiento</w:t>
          </w:r>
          <w:proofErr w:type="spellEnd"/>
          <w:r w:rsidRPr="00345D93">
            <w:rPr>
              <w:rFonts w:ascii="Arial" w:hAnsi="Arial"/>
              <w:lang w:val="fr-FR"/>
            </w:rPr>
            <w:t xml:space="preserve"> de </w:t>
          </w:r>
          <w:proofErr w:type="spellStart"/>
          <w:r w:rsidRPr="00345D93">
            <w:rPr>
              <w:rFonts w:ascii="Arial" w:hAnsi="Arial"/>
              <w:lang w:val="fr-FR"/>
            </w:rPr>
            <w:t>reintegro</w:t>
          </w:r>
          <w:proofErr w:type="spellEnd"/>
          <w:r w:rsidRPr="00345D93">
            <w:rPr>
              <w:rFonts w:ascii="Arial" w:hAnsi="Arial"/>
              <w:lang w:val="fr-FR"/>
            </w:rPr>
            <w:t xml:space="preserve"> de </w:t>
          </w:r>
          <w:proofErr w:type="spellStart"/>
          <w:r w:rsidRPr="00345D93">
            <w:rPr>
              <w:rFonts w:ascii="Arial" w:hAnsi="Arial"/>
              <w:lang w:val="fr-FR"/>
            </w:rPr>
            <w:t>ayudas</w:t>
          </w:r>
          <w:proofErr w:type="spellEnd"/>
          <w:r w:rsidRPr="00345D93">
            <w:rPr>
              <w:rFonts w:ascii="Arial" w:hAnsi="Arial"/>
              <w:lang w:val="fr-FR"/>
            </w:rPr>
            <w:t xml:space="preserve"> PAC (</w:t>
          </w:r>
          <w:proofErr w:type="spellStart"/>
          <w:r w:rsidRPr="00345D93">
            <w:rPr>
              <w:rFonts w:ascii="Arial" w:hAnsi="Arial"/>
              <w:lang w:val="fr-FR"/>
            </w:rPr>
            <w:t>pago</w:t>
          </w:r>
          <w:proofErr w:type="spellEnd"/>
          <w:r w:rsidRPr="00345D93">
            <w:rPr>
              <w:rFonts w:ascii="Arial" w:hAnsi="Arial"/>
              <w:lang w:val="fr-FR"/>
            </w:rPr>
            <w:t xml:space="preserve"> verde). Obiter dicta, </w:t>
          </w:r>
          <w:proofErr w:type="spellStart"/>
          <w:r w:rsidRPr="00345D93">
            <w:rPr>
              <w:rFonts w:ascii="Arial" w:hAnsi="Arial"/>
              <w:lang w:val="fr-FR"/>
            </w:rPr>
            <w:t>tiene</w:t>
          </w:r>
          <w:proofErr w:type="spellEnd"/>
          <w:r w:rsidRPr="00345D93">
            <w:rPr>
              <w:rFonts w:ascii="Arial" w:hAnsi="Arial"/>
              <w:lang w:val="fr-FR"/>
            </w:rPr>
            <w:t xml:space="preserve"> </w:t>
          </w:r>
          <w:proofErr w:type="spellStart"/>
          <w:r w:rsidRPr="00345D93">
            <w:rPr>
              <w:rFonts w:ascii="Arial" w:hAnsi="Arial"/>
              <w:lang w:val="fr-FR"/>
            </w:rPr>
            <w:t>interés</w:t>
          </w:r>
          <w:proofErr w:type="spellEnd"/>
          <w:r w:rsidRPr="00345D93">
            <w:rPr>
              <w:rFonts w:ascii="Arial" w:hAnsi="Arial"/>
              <w:lang w:val="fr-FR"/>
            </w:rPr>
            <w:t xml:space="preserve"> la </w:t>
          </w:r>
          <w:proofErr w:type="spellStart"/>
          <w:r w:rsidRPr="00345D93">
            <w:rPr>
              <w:rFonts w:ascii="Arial" w:hAnsi="Arial"/>
              <w:lang w:val="fr-FR"/>
            </w:rPr>
            <w:t>referencia</w:t>
          </w:r>
          <w:proofErr w:type="spellEnd"/>
          <w:r w:rsidRPr="00345D93">
            <w:rPr>
              <w:rFonts w:ascii="Arial" w:hAnsi="Arial"/>
              <w:lang w:val="fr-FR"/>
            </w:rPr>
            <w:t xml:space="preserve"> que </w:t>
          </w:r>
          <w:proofErr w:type="spellStart"/>
          <w:r w:rsidRPr="00345D93">
            <w:rPr>
              <w:rFonts w:ascii="Arial" w:hAnsi="Arial"/>
              <w:lang w:val="fr-FR"/>
            </w:rPr>
            <w:t>hace</w:t>
          </w:r>
          <w:proofErr w:type="spellEnd"/>
          <w:r w:rsidRPr="00345D93">
            <w:rPr>
              <w:rFonts w:ascii="Arial" w:hAnsi="Arial"/>
              <w:lang w:val="fr-FR"/>
            </w:rPr>
            <w:t xml:space="preserve"> a </w:t>
          </w:r>
          <w:proofErr w:type="spellStart"/>
          <w:r w:rsidRPr="00345D93">
            <w:rPr>
              <w:rFonts w:ascii="Arial" w:hAnsi="Arial"/>
              <w:lang w:val="fr-FR"/>
            </w:rPr>
            <w:t>una</w:t>
          </w:r>
          <w:proofErr w:type="spellEnd"/>
          <w:r w:rsidRPr="00345D93">
            <w:rPr>
              <w:rFonts w:ascii="Arial" w:hAnsi="Arial"/>
              <w:lang w:val="fr-FR"/>
            </w:rPr>
            <w:t xml:space="preserve"> </w:t>
          </w:r>
          <w:proofErr w:type="spellStart"/>
          <w:r w:rsidRPr="00345D93">
            <w:rPr>
              <w:rFonts w:ascii="Arial" w:hAnsi="Arial"/>
              <w:lang w:val="fr-FR"/>
            </w:rPr>
            <w:t>Circular</w:t>
          </w:r>
          <w:proofErr w:type="spellEnd"/>
          <w:r w:rsidRPr="00345D93">
            <w:rPr>
              <w:rFonts w:ascii="Arial" w:hAnsi="Arial"/>
              <w:lang w:val="fr-FR"/>
            </w:rPr>
            <w:t xml:space="preserve"> 6/2018, </w:t>
          </w:r>
          <w:proofErr w:type="spellStart"/>
          <w:r w:rsidRPr="00345D93">
            <w:rPr>
              <w:rFonts w:ascii="Arial" w:hAnsi="Arial"/>
              <w:lang w:val="fr-FR"/>
            </w:rPr>
            <w:t>del</w:t>
          </w:r>
          <w:proofErr w:type="spellEnd"/>
          <w:r w:rsidRPr="00345D93">
            <w:rPr>
              <w:rFonts w:ascii="Arial" w:hAnsi="Arial"/>
              <w:lang w:val="fr-FR"/>
            </w:rPr>
            <w:t xml:space="preserve"> </w:t>
          </w:r>
          <w:proofErr w:type="spellStart"/>
          <w:r w:rsidRPr="00345D93">
            <w:rPr>
              <w:rFonts w:ascii="Arial" w:hAnsi="Arial"/>
              <w:lang w:val="fr-FR"/>
            </w:rPr>
            <w:t>Fondo</w:t>
          </w:r>
          <w:proofErr w:type="spellEnd"/>
          <w:r w:rsidRPr="00345D93">
            <w:rPr>
              <w:rFonts w:ascii="Arial" w:hAnsi="Arial"/>
              <w:lang w:val="fr-FR"/>
            </w:rPr>
            <w:t xml:space="preserve"> </w:t>
          </w:r>
          <w:proofErr w:type="spellStart"/>
          <w:r w:rsidRPr="00345D93">
            <w:rPr>
              <w:rFonts w:ascii="Arial" w:hAnsi="Arial"/>
              <w:lang w:val="fr-FR"/>
            </w:rPr>
            <w:t>Español</w:t>
          </w:r>
          <w:proofErr w:type="spellEnd"/>
          <w:r w:rsidRPr="00345D93">
            <w:rPr>
              <w:rFonts w:ascii="Arial" w:hAnsi="Arial"/>
              <w:lang w:val="fr-FR"/>
            </w:rPr>
            <w:t xml:space="preserve"> de </w:t>
          </w:r>
          <w:proofErr w:type="spellStart"/>
          <w:r w:rsidRPr="00345D93">
            <w:rPr>
              <w:rFonts w:ascii="Arial" w:hAnsi="Arial"/>
              <w:lang w:val="fr-FR"/>
            </w:rPr>
            <w:t>Garantía</w:t>
          </w:r>
          <w:proofErr w:type="spellEnd"/>
          <w:r w:rsidRPr="00345D93">
            <w:rPr>
              <w:rFonts w:ascii="Arial" w:hAnsi="Arial"/>
              <w:lang w:val="fr-FR"/>
            </w:rPr>
            <w:t xml:space="preserve"> </w:t>
          </w:r>
          <w:proofErr w:type="spellStart"/>
          <w:r w:rsidRPr="00345D93">
            <w:rPr>
              <w:rFonts w:ascii="Arial" w:hAnsi="Arial"/>
              <w:lang w:val="fr-FR"/>
            </w:rPr>
            <w:t>Agraria</w:t>
          </w:r>
          <w:proofErr w:type="spellEnd"/>
          <w:r w:rsidRPr="00345D93">
            <w:rPr>
              <w:rFonts w:ascii="Arial" w:hAnsi="Arial"/>
              <w:lang w:val="fr-FR"/>
            </w:rPr>
            <w:t xml:space="preserve">, </w:t>
          </w:r>
          <w:proofErr w:type="spellStart"/>
          <w:r w:rsidRPr="00345D93">
            <w:rPr>
              <w:rFonts w:ascii="Arial" w:hAnsi="Arial"/>
              <w:lang w:val="fr-FR"/>
            </w:rPr>
            <w:t>por</w:t>
          </w:r>
          <w:proofErr w:type="spellEnd"/>
          <w:r w:rsidRPr="00345D93">
            <w:rPr>
              <w:rFonts w:ascii="Arial" w:hAnsi="Arial"/>
              <w:lang w:val="fr-FR"/>
            </w:rPr>
            <w:t xml:space="preserve"> el que se </w:t>
          </w:r>
          <w:proofErr w:type="spellStart"/>
          <w:r w:rsidRPr="00345D93">
            <w:rPr>
              <w:rFonts w:ascii="Arial" w:hAnsi="Arial"/>
              <w:lang w:val="fr-FR"/>
            </w:rPr>
            <w:t>aprueba</w:t>
          </w:r>
          <w:proofErr w:type="spellEnd"/>
          <w:r w:rsidRPr="00345D93">
            <w:rPr>
              <w:rFonts w:ascii="Arial" w:hAnsi="Arial"/>
              <w:lang w:val="fr-FR"/>
            </w:rPr>
            <w:t xml:space="preserve"> el Plan </w:t>
          </w:r>
          <w:proofErr w:type="spellStart"/>
          <w:r w:rsidRPr="00345D93">
            <w:rPr>
              <w:rFonts w:ascii="Arial" w:hAnsi="Arial"/>
              <w:lang w:val="fr-FR"/>
            </w:rPr>
            <w:t>nacional</w:t>
          </w:r>
          <w:proofErr w:type="spellEnd"/>
          <w:r w:rsidRPr="00345D93">
            <w:rPr>
              <w:rFonts w:ascii="Arial" w:hAnsi="Arial"/>
              <w:lang w:val="fr-FR"/>
            </w:rPr>
            <w:t xml:space="preserve"> de </w:t>
          </w:r>
          <w:proofErr w:type="spellStart"/>
          <w:r w:rsidRPr="00345D93">
            <w:rPr>
              <w:rFonts w:ascii="Arial" w:hAnsi="Arial"/>
              <w:lang w:val="fr-FR"/>
            </w:rPr>
            <w:t>controles</w:t>
          </w:r>
          <w:proofErr w:type="spellEnd"/>
          <w:r w:rsidRPr="00345D93">
            <w:rPr>
              <w:rFonts w:ascii="Arial" w:hAnsi="Arial"/>
              <w:lang w:val="fr-FR"/>
            </w:rPr>
            <w:t xml:space="preserve"> y </w:t>
          </w:r>
          <w:proofErr w:type="spellStart"/>
          <w:r w:rsidRPr="00345D93">
            <w:rPr>
              <w:rFonts w:ascii="Arial" w:hAnsi="Arial"/>
              <w:lang w:val="fr-FR"/>
            </w:rPr>
            <w:t>criterios</w:t>
          </w:r>
          <w:proofErr w:type="spellEnd"/>
          <w:r w:rsidRPr="00345D93">
            <w:rPr>
              <w:rFonts w:ascii="Arial" w:hAnsi="Arial"/>
              <w:lang w:val="fr-FR"/>
            </w:rPr>
            <w:t xml:space="preserve"> para la </w:t>
          </w:r>
          <w:proofErr w:type="spellStart"/>
          <w:r w:rsidRPr="00345D93">
            <w:rPr>
              <w:rFonts w:ascii="Arial" w:hAnsi="Arial"/>
              <w:lang w:val="fr-FR"/>
            </w:rPr>
            <w:t>aplicación</w:t>
          </w:r>
          <w:proofErr w:type="spellEnd"/>
          <w:r w:rsidRPr="00345D93">
            <w:rPr>
              <w:rFonts w:ascii="Arial" w:hAnsi="Arial"/>
              <w:lang w:val="fr-FR"/>
            </w:rPr>
            <w:t xml:space="preserve"> de </w:t>
          </w:r>
          <w:proofErr w:type="spellStart"/>
          <w:r w:rsidRPr="00345D93">
            <w:rPr>
              <w:rFonts w:ascii="Arial" w:hAnsi="Arial"/>
              <w:lang w:val="fr-FR"/>
            </w:rPr>
            <w:t>penalizaciones</w:t>
          </w:r>
          <w:proofErr w:type="spellEnd"/>
          <w:r w:rsidRPr="00345D93">
            <w:rPr>
              <w:rFonts w:ascii="Arial" w:hAnsi="Arial"/>
              <w:lang w:val="fr-FR"/>
            </w:rPr>
            <w:t xml:space="preserve">. </w:t>
          </w:r>
          <w:proofErr w:type="spellStart"/>
          <w:r w:rsidRPr="00345D93">
            <w:rPr>
              <w:rFonts w:ascii="Arial" w:hAnsi="Arial"/>
              <w:lang w:val="fr-FR"/>
            </w:rPr>
            <w:t>Pero</w:t>
          </w:r>
          <w:proofErr w:type="spellEnd"/>
          <w:r w:rsidRPr="00345D93">
            <w:rPr>
              <w:rFonts w:ascii="Arial" w:hAnsi="Arial"/>
              <w:lang w:val="fr-FR"/>
            </w:rPr>
            <w:t xml:space="preserve"> el </w:t>
          </w:r>
          <w:proofErr w:type="spellStart"/>
          <w:r w:rsidRPr="00345D93">
            <w:rPr>
              <w:rFonts w:ascii="Arial" w:hAnsi="Arial"/>
              <w:lang w:val="fr-FR"/>
            </w:rPr>
            <w:t>fallo</w:t>
          </w:r>
          <w:proofErr w:type="spellEnd"/>
          <w:r w:rsidRPr="00345D93">
            <w:rPr>
              <w:rFonts w:ascii="Arial" w:hAnsi="Arial"/>
              <w:lang w:val="fr-FR"/>
            </w:rPr>
            <w:t xml:space="preserve"> se </w:t>
          </w:r>
          <w:proofErr w:type="spellStart"/>
          <w:r w:rsidRPr="00345D93">
            <w:rPr>
              <w:rFonts w:ascii="Arial" w:hAnsi="Arial"/>
              <w:lang w:val="fr-FR"/>
            </w:rPr>
            <w:t>funda</w:t>
          </w:r>
          <w:proofErr w:type="spellEnd"/>
          <w:r w:rsidRPr="00345D93">
            <w:rPr>
              <w:rFonts w:ascii="Arial" w:hAnsi="Arial"/>
              <w:lang w:val="fr-FR"/>
            </w:rPr>
            <w:t xml:space="preserve"> en que, “de la </w:t>
          </w:r>
          <w:proofErr w:type="spellStart"/>
          <w:r w:rsidRPr="00345D93">
            <w:rPr>
              <w:rFonts w:ascii="Arial" w:hAnsi="Arial"/>
              <w:lang w:val="fr-FR"/>
            </w:rPr>
            <w:t>normativa</w:t>
          </w:r>
          <w:proofErr w:type="spellEnd"/>
          <w:r w:rsidRPr="00345D93">
            <w:rPr>
              <w:rFonts w:ascii="Arial" w:hAnsi="Arial"/>
              <w:lang w:val="fr-FR"/>
            </w:rPr>
            <w:t xml:space="preserve"> </w:t>
          </w:r>
          <w:proofErr w:type="spellStart"/>
          <w:r w:rsidRPr="00345D93">
            <w:rPr>
              <w:rFonts w:ascii="Arial" w:hAnsi="Arial"/>
              <w:lang w:val="fr-FR"/>
            </w:rPr>
            <w:t>aplicable</w:t>
          </w:r>
          <w:proofErr w:type="spellEnd"/>
          <w:r w:rsidRPr="00345D93">
            <w:rPr>
              <w:rFonts w:ascii="Arial" w:hAnsi="Arial"/>
              <w:lang w:val="fr-FR"/>
            </w:rPr>
            <w:t xml:space="preserve">, se </w:t>
          </w:r>
          <w:proofErr w:type="spellStart"/>
          <w:r w:rsidRPr="00345D93">
            <w:rPr>
              <w:rFonts w:ascii="Arial" w:hAnsi="Arial"/>
              <w:lang w:val="fr-FR"/>
            </w:rPr>
            <w:t>deprende</w:t>
          </w:r>
          <w:proofErr w:type="spellEnd"/>
          <w:r w:rsidRPr="00345D93">
            <w:rPr>
              <w:rFonts w:ascii="Arial" w:hAnsi="Arial"/>
              <w:lang w:val="fr-FR"/>
            </w:rPr>
            <w:t xml:space="preserve"> que no es </w:t>
          </w:r>
          <w:proofErr w:type="spellStart"/>
          <w:r w:rsidRPr="00345D93">
            <w:rPr>
              <w:rFonts w:ascii="Arial" w:hAnsi="Arial"/>
              <w:lang w:val="fr-FR"/>
            </w:rPr>
            <w:t>preciso</w:t>
          </w:r>
          <w:proofErr w:type="spellEnd"/>
          <w:r w:rsidRPr="00345D93">
            <w:rPr>
              <w:rFonts w:ascii="Arial" w:hAnsi="Arial"/>
              <w:lang w:val="fr-FR"/>
            </w:rPr>
            <w:t xml:space="preserve">, para </w:t>
          </w:r>
          <w:proofErr w:type="spellStart"/>
          <w:r w:rsidRPr="00345D93">
            <w:rPr>
              <w:rFonts w:ascii="Arial" w:hAnsi="Arial"/>
              <w:lang w:val="fr-FR"/>
            </w:rPr>
            <w:t>efectuar</w:t>
          </w:r>
          <w:proofErr w:type="spellEnd"/>
          <w:r w:rsidRPr="00345D93">
            <w:rPr>
              <w:rFonts w:ascii="Arial" w:hAnsi="Arial"/>
              <w:lang w:val="fr-FR"/>
            </w:rPr>
            <w:t xml:space="preserve"> </w:t>
          </w:r>
          <w:proofErr w:type="spellStart"/>
          <w:r w:rsidRPr="00345D93">
            <w:rPr>
              <w:rFonts w:ascii="Arial" w:hAnsi="Arial"/>
              <w:lang w:val="fr-FR"/>
            </w:rPr>
            <w:t>válidamente</w:t>
          </w:r>
          <w:proofErr w:type="spellEnd"/>
          <w:r w:rsidRPr="00345D93">
            <w:rPr>
              <w:rFonts w:ascii="Arial" w:hAnsi="Arial"/>
              <w:lang w:val="fr-FR"/>
            </w:rPr>
            <w:t xml:space="preserve"> los </w:t>
          </w:r>
          <w:proofErr w:type="spellStart"/>
          <w:r w:rsidRPr="00345D93">
            <w:rPr>
              <w:rFonts w:ascii="Arial" w:hAnsi="Arial"/>
              <w:lang w:val="fr-FR"/>
            </w:rPr>
            <w:t>controles</w:t>
          </w:r>
          <w:proofErr w:type="spellEnd"/>
          <w:r w:rsidRPr="00345D93">
            <w:rPr>
              <w:rFonts w:ascii="Arial" w:hAnsi="Arial"/>
              <w:lang w:val="fr-FR"/>
            </w:rPr>
            <w:t xml:space="preserve"> sobre el </w:t>
          </w:r>
          <w:proofErr w:type="spellStart"/>
          <w:r w:rsidRPr="00345D93">
            <w:rPr>
              <w:rFonts w:ascii="Arial" w:hAnsi="Arial"/>
              <w:lang w:val="fr-FR"/>
            </w:rPr>
            <w:t>terreno</w:t>
          </w:r>
          <w:proofErr w:type="spellEnd"/>
          <w:r w:rsidRPr="00345D93">
            <w:rPr>
              <w:rFonts w:ascii="Arial" w:hAnsi="Arial"/>
              <w:lang w:val="fr-FR"/>
            </w:rPr>
            <w:t xml:space="preserve"> de la </w:t>
          </w:r>
          <w:proofErr w:type="spellStart"/>
          <w:r w:rsidRPr="00345D93">
            <w:rPr>
              <w:rFonts w:ascii="Arial" w:hAnsi="Arial"/>
              <w:lang w:val="fr-FR"/>
            </w:rPr>
            <w:t>condicionalidad</w:t>
          </w:r>
          <w:proofErr w:type="spellEnd"/>
          <w:r w:rsidRPr="00345D93">
            <w:rPr>
              <w:rFonts w:ascii="Arial" w:hAnsi="Arial"/>
              <w:lang w:val="fr-FR"/>
            </w:rPr>
            <w:t xml:space="preserve">, </w:t>
          </w:r>
          <w:proofErr w:type="spellStart"/>
          <w:r w:rsidRPr="00345D93">
            <w:rPr>
              <w:rFonts w:ascii="Arial" w:hAnsi="Arial"/>
              <w:lang w:val="fr-FR"/>
            </w:rPr>
            <w:t>asumida</w:t>
          </w:r>
          <w:proofErr w:type="spellEnd"/>
          <w:r w:rsidRPr="00345D93">
            <w:rPr>
              <w:rFonts w:ascii="Arial" w:hAnsi="Arial"/>
              <w:lang w:val="fr-FR"/>
            </w:rPr>
            <w:t xml:space="preserve"> </w:t>
          </w:r>
          <w:proofErr w:type="spellStart"/>
          <w:r w:rsidRPr="00345D93">
            <w:rPr>
              <w:rFonts w:ascii="Arial" w:hAnsi="Arial"/>
              <w:lang w:val="fr-FR"/>
            </w:rPr>
            <w:t>como</w:t>
          </w:r>
          <w:proofErr w:type="spellEnd"/>
          <w:r w:rsidRPr="00345D93">
            <w:rPr>
              <w:rFonts w:ascii="Arial" w:hAnsi="Arial"/>
              <w:lang w:val="fr-FR"/>
            </w:rPr>
            <w:t xml:space="preserve"> </w:t>
          </w:r>
          <w:proofErr w:type="spellStart"/>
          <w:r w:rsidRPr="00345D93">
            <w:rPr>
              <w:rFonts w:ascii="Arial" w:hAnsi="Arial"/>
              <w:lang w:val="fr-FR"/>
            </w:rPr>
            <w:t>obligatoria</w:t>
          </w:r>
          <w:proofErr w:type="spellEnd"/>
          <w:r w:rsidRPr="00345D93">
            <w:rPr>
              <w:rFonts w:ascii="Arial" w:hAnsi="Arial"/>
              <w:lang w:val="fr-FR"/>
            </w:rPr>
            <w:t xml:space="preserve"> </w:t>
          </w:r>
          <w:proofErr w:type="spellStart"/>
          <w:r w:rsidRPr="00345D93">
            <w:rPr>
              <w:rFonts w:ascii="Arial" w:hAnsi="Arial"/>
              <w:lang w:val="fr-FR"/>
            </w:rPr>
            <w:t>por</w:t>
          </w:r>
          <w:proofErr w:type="spellEnd"/>
          <w:r w:rsidRPr="00345D93">
            <w:rPr>
              <w:rFonts w:ascii="Arial" w:hAnsi="Arial"/>
              <w:lang w:val="fr-FR"/>
            </w:rPr>
            <w:t xml:space="preserve"> los </w:t>
          </w:r>
          <w:proofErr w:type="spellStart"/>
          <w:r w:rsidRPr="00345D93">
            <w:rPr>
              <w:rFonts w:ascii="Arial" w:hAnsi="Arial"/>
              <w:lang w:val="fr-FR"/>
            </w:rPr>
            <w:t>beneficiarios</w:t>
          </w:r>
          <w:proofErr w:type="spellEnd"/>
          <w:r w:rsidRPr="00345D93">
            <w:rPr>
              <w:rFonts w:ascii="Arial" w:hAnsi="Arial"/>
              <w:lang w:val="fr-FR"/>
            </w:rPr>
            <w:t xml:space="preserve"> de las </w:t>
          </w:r>
          <w:proofErr w:type="spellStart"/>
          <w:r w:rsidRPr="00345D93">
            <w:rPr>
              <w:rFonts w:ascii="Arial" w:hAnsi="Arial"/>
              <w:lang w:val="fr-FR"/>
            </w:rPr>
            <w:t>ayudas</w:t>
          </w:r>
          <w:proofErr w:type="spellEnd"/>
          <w:r w:rsidRPr="00345D93">
            <w:rPr>
              <w:rFonts w:ascii="Arial" w:hAnsi="Arial"/>
              <w:lang w:val="fr-FR"/>
            </w:rPr>
            <w:t xml:space="preserve"> </w:t>
          </w:r>
          <w:proofErr w:type="spellStart"/>
          <w:r w:rsidRPr="00345D93">
            <w:rPr>
              <w:rFonts w:ascii="Arial" w:hAnsi="Arial"/>
              <w:lang w:val="fr-FR"/>
            </w:rPr>
            <w:t>públicas</w:t>
          </w:r>
          <w:proofErr w:type="spellEnd"/>
          <w:r w:rsidRPr="00345D93">
            <w:rPr>
              <w:rFonts w:ascii="Arial" w:hAnsi="Arial"/>
              <w:lang w:val="fr-FR"/>
            </w:rPr>
            <w:t xml:space="preserve">, que los </w:t>
          </w:r>
          <w:proofErr w:type="spellStart"/>
          <w:r w:rsidRPr="00345D93">
            <w:rPr>
              <w:rFonts w:ascii="Arial" w:hAnsi="Arial"/>
              <w:lang w:val="fr-FR"/>
            </w:rPr>
            <w:t>mismos</w:t>
          </w:r>
          <w:proofErr w:type="spellEnd"/>
          <w:r w:rsidRPr="00345D93">
            <w:rPr>
              <w:rFonts w:ascii="Arial" w:hAnsi="Arial"/>
              <w:lang w:val="fr-FR"/>
            </w:rPr>
            <w:t xml:space="preserve"> </w:t>
          </w:r>
          <w:proofErr w:type="spellStart"/>
          <w:r w:rsidRPr="00345D93">
            <w:rPr>
              <w:rFonts w:ascii="Arial" w:hAnsi="Arial"/>
              <w:lang w:val="fr-FR"/>
            </w:rPr>
            <w:t>requieran</w:t>
          </w:r>
          <w:proofErr w:type="spellEnd"/>
          <w:r w:rsidRPr="00345D93">
            <w:rPr>
              <w:rFonts w:ascii="Arial" w:hAnsi="Arial"/>
              <w:lang w:val="fr-FR"/>
            </w:rPr>
            <w:t xml:space="preserve"> </w:t>
          </w:r>
          <w:proofErr w:type="spellStart"/>
          <w:r w:rsidRPr="00345D93">
            <w:rPr>
              <w:rFonts w:ascii="Arial" w:hAnsi="Arial"/>
              <w:lang w:val="fr-FR"/>
            </w:rPr>
            <w:t>formalmente</w:t>
          </w:r>
          <w:proofErr w:type="spellEnd"/>
          <w:r w:rsidRPr="00345D93">
            <w:rPr>
              <w:rFonts w:ascii="Arial" w:hAnsi="Arial"/>
              <w:lang w:val="fr-FR"/>
            </w:rPr>
            <w:t xml:space="preserve"> </w:t>
          </w:r>
          <w:proofErr w:type="gramStart"/>
          <w:r w:rsidRPr="00345D93">
            <w:rPr>
              <w:rFonts w:ascii="Arial" w:hAnsi="Arial"/>
              <w:lang w:val="fr-FR"/>
            </w:rPr>
            <w:t>de un</w:t>
          </w:r>
          <w:proofErr w:type="gramEnd"/>
          <w:r w:rsidRPr="00345D93">
            <w:rPr>
              <w:rFonts w:ascii="Arial" w:hAnsi="Arial"/>
              <w:lang w:val="fr-FR"/>
            </w:rPr>
            <w:t xml:space="preserve"> </w:t>
          </w:r>
          <w:proofErr w:type="spellStart"/>
          <w:r w:rsidRPr="00345D93">
            <w:rPr>
              <w:rFonts w:ascii="Arial" w:hAnsi="Arial"/>
              <w:lang w:val="fr-FR"/>
            </w:rPr>
            <w:t>anuncio</w:t>
          </w:r>
          <w:proofErr w:type="spellEnd"/>
          <w:r w:rsidRPr="00345D93">
            <w:rPr>
              <w:rFonts w:ascii="Arial" w:hAnsi="Arial"/>
              <w:lang w:val="fr-FR"/>
            </w:rPr>
            <w:t xml:space="preserve"> de visita. No se </w:t>
          </w:r>
          <w:proofErr w:type="spellStart"/>
          <w:r w:rsidRPr="00345D93">
            <w:rPr>
              <w:rFonts w:ascii="Arial" w:hAnsi="Arial"/>
              <w:lang w:val="fr-FR"/>
            </w:rPr>
            <w:t>establece</w:t>
          </w:r>
          <w:proofErr w:type="spellEnd"/>
          <w:r w:rsidRPr="00345D93">
            <w:rPr>
              <w:rFonts w:ascii="Arial" w:hAnsi="Arial"/>
              <w:lang w:val="fr-FR"/>
            </w:rPr>
            <w:t xml:space="preserve"> </w:t>
          </w:r>
          <w:proofErr w:type="spellStart"/>
          <w:r w:rsidRPr="00345D93">
            <w:rPr>
              <w:rFonts w:ascii="Arial" w:hAnsi="Arial"/>
              <w:lang w:val="fr-FR"/>
            </w:rPr>
            <w:t>tal</w:t>
          </w:r>
          <w:proofErr w:type="spellEnd"/>
          <w:r w:rsidR="00F24487">
            <w:rPr>
              <w:rFonts w:ascii="Arial" w:hAnsi="Arial"/>
              <w:lang w:val="fr-FR"/>
            </w:rPr>
            <w:t xml:space="preserve"> </w:t>
          </w:r>
          <w:proofErr w:type="spellStart"/>
          <w:r w:rsidR="00F24487" w:rsidRPr="00F24487">
            <w:rPr>
              <w:rFonts w:ascii="Arial" w:hAnsi="Arial"/>
              <w:lang w:val="fr-FR"/>
            </w:rPr>
            <w:t>requisito</w:t>
          </w:r>
          <w:proofErr w:type="spellEnd"/>
          <w:r w:rsidR="00F24487" w:rsidRPr="00F24487">
            <w:rPr>
              <w:rFonts w:ascii="Arial" w:hAnsi="Arial"/>
              <w:lang w:val="fr-FR"/>
            </w:rPr>
            <w:t xml:space="preserve"> </w:t>
          </w:r>
          <w:proofErr w:type="spellStart"/>
          <w:r w:rsidR="00F24487" w:rsidRPr="00F24487">
            <w:rPr>
              <w:rFonts w:ascii="Arial" w:hAnsi="Arial"/>
              <w:lang w:val="fr-FR"/>
            </w:rPr>
            <w:t>procedimental</w:t>
          </w:r>
          <w:proofErr w:type="spellEnd"/>
          <w:r w:rsidR="00F24487" w:rsidRPr="00F24487">
            <w:rPr>
              <w:rFonts w:ascii="Arial" w:hAnsi="Arial"/>
              <w:lang w:val="fr-FR"/>
            </w:rPr>
            <w:t xml:space="preserve"> en el Real </w:t>
          </w:r>
          <w:proofErr w:type="spellStart"/>
          <w:r w:rsidR="00F24487" w:rsidRPr="00F24487">
            <w:rPr>
              <w:rFonts w:ascii="Arial" w:hAnsi="Arial"/>
              <w:lang w:val="fr-FR"/>
            </w:rPr>
            <w:t>Decreto</w:t>
          </w:r>
          <w:proofErr w:type="spellEnd"/>
          <w:r w:rsidR="00F24487" w:rsidRPr="00F24487">
            <w:rPr>
              <w:rFonts w:ascii="Arial" w:hAnsi="Arial"/>
              <w:lang w:val="fr-FR"/>
            </w:rPr>
            <w:t xml:space="preserve"> 1078/2014 y </w:t>
          </w:r>
          <w:proofErr w:type="spellStart"/>
          <w:r w:rsidR="00F24487" w:rsidRPr="00F24487">
            <w:rPr>
              <w:rFonts w:ascii="Arial" w:hAnsi="Arial"/>
              <w:lang w:val="fr-FR"/>
            </w:rPr>
            <w:t>tampoco</w:t>
          </w:r>
          <w:proofErr w:type="spellEnd"/>
          <w:r w:rsidR="00F24487" w:rsidRPr="00F24487">
            <w:rPr>
              <w:rFonts w:ascii="Arial" w:hAnsi="Arial"/>
              <w:lang w:val="fr-FR"/>
            </w:rPr>
            <w:t xml:space="preserve"> en el </w:t>
          </w:r>
          <w:proofErr w:type="spellStart"/>
          <w:r w:rsidR="00F24487" w:rsidRPr="00F24487">
            <w:rPr>
              <w:rFonts w:ascii="Arial" w:hAnsi="Arial"/>
              <w:lang w:val="fr-FR"/>
            </w:rPr>
            <w:lastRenderedPageBreak/>
            <w:t>Reglamento</w:t>
          </w:r>
          <w:proofErr w:type="spellEnd"/>
          <w:r w:rsidR="00F24487" w:rsidRPr="00F24487">
            <w:rPr>
              <w:rFonts w:ascii="Arial" w:hAnsi="Arial"/>
              <w:lang w:val="fr-FR"/>
            </w:rPr>
            <w:t xml:space="preserve"> de </w:t>
          </w:r>
          <w:proofErr w:type="spellStart"/>
          <w:r w:rsidR="00F24487" w:rsidRPr="00F24487">
            <w:rPr>
              <w:rFonts w:ascii="Arial" w:hAnsi="Arial"/>
              <w:lang w:val="fr-FR"/>
            </w:rPr>
            <w:t>Ejecución</w:t>
          </w:r>
          <w:proofErr w:type="spellEnd"/>
          <w:r w:rsidR="00F24487" w:rsidRPr="00F24487">
            <w:rPr>
              <w:rFonts w:ascii="Arial" w:hAnsi="Arial"/>
              <w:lang w:val="fr-FR"/>
            </w:rPr>
            <w:t xml:space="preserve"> UE 809/2014”. </w:t>
          </w:r>
          <w:proofErr w:type="spellStart"/>
          <w:r w:rsidR="00F24487" w:rsidRPr="00F24487">
            <w:rPr>
              <w:rFonts w:ascii="Arial" w:hAnsi="Arial"/>
              <w:lang w:val="fr-FR"/>
            </w:rPr>
            <w:t>Así</w:t>
          </w:r>
          <w:proofErr w:type="spellEnd"/>
          <w:r w:rsidR="00F24487" w:rsidRPr="00F24487">
            <w:rPr>
              <w:rFonts w:ascii="Arial" w:hAnsi="Arial"/>
              <w:lang w:val="fr-FR"/>
            </w:rPr>
            <w:t xml:space="preserve">, “[D]e los </w:t>
          </w:r>
          <w:proofErr w:type="spellStart"/>
          <w:r w:rsidR="00F24487" w:rsidRPr="00F24487">
            <w:rPr>
              <w:rFonts w:ascii="Arial" w:hAnsi="Arial"/>
              <w:lang w:val="fr-FR"/>
            </w:rPr>
            <w:t>anteriores</w:t>
          </w:r>
          <w:proofErr w:type="spellEnd"/>
          <w:r w:rsidR="00F24487" w:rsidRPr="00F24487">
            <w:rPr>
              <w:rFonts w:ascii="Arial" w:hAnsi="Arial"/>
              <w:lang w:val="fr-FR"/>
            </w:rPr>
            <w:t xml:space="preserve"> </w:t>
          </w:r>
          <w:proofErr w:type="spellStart"/>
          <w:r w:rsidR="00F24487" w:rsidRPr="00F24487">
            <w:rPr>
              <w:rFonts w:ascii="Arial" w:hAnsi="Arial"/>
              <w:lang w:val="fr-FR"/>
            </w:rPr>
            <w:t>preceptos</w:t>
          </w:r>
          <w:proofErr w:type="spellEnd"/>
          <w:r w:rsidR="00F24487" w:rsidRPr="00F24487">
            <w:rPr>
              <w:rFonts w:ascii="Arial" w:hAnsi="Arial"/>
              <w:lang w:val="fr-FR"/>
            </w:rPr>
            <w:t xml:space="preserve"> se </w:t>
          </w:r>
          <w:proofErr w:type="spellStart"/>
          <w:r w:rsidR="00F24487" w:rsidRPr="00F24487">
            <w:rPr>
              <w:rFonts w:ascii="Arial" w:hAnsi="Arial"/>
              <w:lang w:val="fr-FR"/>
            </w:rPr>
            <w:t>infiere</w:t>
          </w:r>
          <w:proofErr w:type="spellEnd"/>
          <w:r w:rsidR="00F24487" w:rsidRPr="00F24487">
            <w:rPr>
              <w:rFonts w:ascii="Arial" w:hAnsi="Arial"/>
              <w:lang w:val="fr-FR"/>
            </w:rPr>
            <w:t xml:space="preserve"> </w:t>
          </w:r>
          <w:proofErr w:type="gramStart"/>
          <w:r w:rsidR="00F24487" w:rsidRPr="00F24487">
            <w:rPr>
              <w:rFonts w:ascii="Arial" w:hAnsi="Arial"/>
              <w:lang w:val="fr-FR"/>
            </w:rPr>
            <w:t>que el</w:t>
          </w:r>
          <w:proofErr w:type="gramEnd"/>
          <w:r w:rsidR="00F24487" w:rsidRPr="00F24487">
            <w:rPr>
              <w:rFonts w:ascii="Arial" w:hAnsi="Arial"/>
              <w:lang w:val="fr-FR"/>
            </w:rPr>
            <w:t xml:space="preserve"> control sobre el </w:t>
          </w:r>
          <w:proofErr w:type="spellStart"/>
          <w:r w:rsidR="00F24487" w:rsidRPr="00F24487">
            <w:rPr>
              <w:rFonts w:ascii="Arial" w:hAnsi="Arial"/>
              <w:lang w:val="fr-FR"/>
            </w:rPr>
            <w:t>terreno</w:t>
          </w:r>
          <w:proofErr w:type="spellEnd"/>
          <w:r w:rsidR="00F24487" w:rsidRPr="00F24487">
            <w:rPr>
              <w:rFonts w:ascii="Arial" w:hAnsi="Arial"/>
              <w:lang w:val="fr-FR"/>
            </w:rPr>
            <w:t xml:space="preserve"> </w:t>
          </w:r>
          <w:proofErr w:type="spellStart"/>
          <w:r w:rsidR="00F24487" w:rsidRPr="00F24487">
            <w:rPr>
              <w:rFonts w:ascii="Arial" w:hAnsi="Arial"/>
              <w:lang w:val="fr-FR"/>
            </w:rPr>
            <w:t>puede</w:t>
          </w:r>
          <w:proofErr w:type="spellEnd"/>
          <w:r w:rsidR="00F24487" w:rsidRPr="00F24487">
            <w:rPr>
              <w:rFonts w:ascii="Arial" w:hAnsi="Arial"/>
              <w:lang w:val="fr-FR"/>
            </w:rPr>
            <w:t xml:space="preserve"> </w:t>
          </w:r>
          <w:proofErr w:type="spellStart"/>
          <w:r w:rsidR="00F24487" w:rsidRPr="00F24487">
            <w:rPr>
              <w:rFonts w:ascii="Arial" w:hAnsi="Arial"/>
              <w:lang w:val="fr-FR"/>
            </w:rPr>
            <w:t>realizarse</w:t>
          </w:r>
          <w:proofErr w:type="spellEnd"/>
          <w:r w:rsidR="00F24487" w:rsidRPr="00F24487">
            <w:rPr>
              <w:rFonts w:ascii="Arial" w:hAnsi="Arial"/>
              <w:lang w:val="fr-FR"/>
            </w:rPr>
            <w:t xml:space="preserve"> </w:t>
          </w:r>
          <w:proofErr w:type="spellStart"/>
          <w:r w:rsidR="00F24487" w:rsidRPr="00F24487">
            <w:rPr>
              <w:rFonts w:ascii="Arial" w:hAnsi="Arial"/>
              <w:lang w:val="fr-FR"/>
            </w:rPr>
            <w:t>sorpresivamente</w:t>
          </w:r>
          <w:proofErr w:type="spellEnd"/>
          <w:r w:rsidR="00F24487" w:rsidRPr="00F24487">
            <w:rPr>
              <w:rFonts w:ascii="Arial" w:hAnsi="Arial"/>
              <w:lang w:val="fr-FR"/>
            </w:rPr>
            <w:t xml:space="preserve"> o con </w:t>
          </w:r>
          <w:proofErr w:type="spellStart"/>
          <w:r w:rsidR="00F24487" w:rsidRPr="00F24487">
            <w:rPr>
              <w:rFonts w:ascii="Arial" w:hAnsi="Arial"/>
              <w:lang w:val="fr-FR"/>
            </w:rPr>
            <w:t>anuncio</w:t>
          </w:r>
          <w:proofErr w:type="spellEnd"/>
          <w:r w:rsidR="00F24487" w:rsidRPr="00F24487">
            <w:rPr>
              <w:rFonts w:ascii="Arial" w:hAnsi="Arial"/>
              <w:lang w:val="fr-FR"/>
            </w:rPr>
            <w:t xml:space="preserve"> </w:t>
          </w:r>
          <w:proofErr w:type="spellStart"/>
          <w:r w:rsidR="00F24487" w:rsidRPr="00F24487">
            <w:rPr>
              <w:rFonts w:ascii="Arial" w:hAnsi="Arial"/>
              <w:lang w:val="fr-FR"/>
            </w:rPr>
            <w:t>previo</w:t>
          </w:r>
          <w:proofErr w:type="spellEnd"/>
          <w:r w:rsidR="00F24487" w:rsidRPr="00F24487">
            <w:rPr>
              <w:rFonts w:ascii="Arial" w:hAnsi="Arial"/>
              <w:lang w:val="fr-FR"/>
            </w:rPr>
            <w:t>”.</w:t>
          </w:r>
        </w:p>
      </w:sdtContent>
    </w:sdt>
    <w:p w14:paraId="2F4BCFC5" w14:textId="719E8044" w:rsidR="00BC14E3" w:rsidRPr="00F24487" w:rsidRDefault="007C5C54" w:rsidP="00BC14E3">
      <w:pPr>
        <w:pStyle w:val="Ttulo1"/>
        <w:rPr>
          <w:rFonts w:ascii="Arial" w:hAnsi="Arial"/>
          <w:lang w:val="es-ES"/>
        </w:rPr>
      </w:pPr>
      <w:r w:rsidRPr="00F24487">
        <w:rPr>
          <w:rFonts w:ascii="Arial" w:hAnsi="Arial"/>
          <w:lang w:val="es-ES"/>
        </w:rPr>
        <w:t>6</w:t>
      </w:r>
      <w:r w:rsidR="00BC14E3" w:rsidRPr="00F24487">
        <w:rPr>
          <w:rFonts w:ascii="Arial" w:hAnsi="Arial"/>
          <w:lang w:val="es-ES"/>
        </w:rPr>
        <w:t xml:space="preserve">. </w:t>
      </w:r>
      <w:r w:rsidRPr="002D7147">
        <w:rPr>
          <w:rFonts w:ascii="Arial" w:hAnsi="Arial"/>
        </w:rPr>
        <w:t>TRIBUTACIÓN AMBIENTAL</w:t>
      </w:r>
    </w:p>
    <w:p w14:paraId="0C84375C" w14:textId="77777777" w:rsidR="00F24487" w:rsidRPr="007C5C54" w:rsidRDefault="00F24487" w:rsidP="00F24487">
      <w:pPr>
        <w:pStyle w:val="Ttulo2"/>
        <w:rPr>
          <w:lang w:val="es-ES"/>
        </w:rPr>
      </w:pPr>
      <w:r w:rsidRPr="007C5C54">
        <w:rPr>
          <w:lang w:val="es-ES"/>
        </w:rPr>
        <w:t>6.1.</w:t>
      </w:r>
      <w:r>
        <w:rPr>
          <w:lang w:val="es-ES"/>
        </w:rPr>
        <w:t xml:space="preserve"> </w:t>
      </w:r>
      <w:r w:rsidRPr="007C5C54">
        <w:rPr>
          <w:lang w:val="es-ES"/>
        </w:rPr>
        <w:t>Impuesto estatal sobre el valor de la producción de la energía eléctrica</w:t>
      </w:r>
    </w:p>
    <w:p w14:paraId="224456C7" w14:textId="6CBAA368" w:rsidR="00BC14E3" w:rsidRPr="007C5C54" w:rsidRDefault="002A4F74" w:rsidP="00BC14E3">
      <w:pPr>
        <w:rPr>
          <w:rFonts w:ascii="Arial" w:hAnsi="Arial"/>
          <w:lang w:val="es-ES"/>
        </w:rPr>
      </w:pPr>
      <w:r w:rsidRPr="002A4F74">
        <w:rPr>
          <w:rFonts w:ascii="Arial" w:hAnsi="Arial"/>
          <w:lang w:val="es-ES"/>
        </w:rPr>
        <w:t>La Sentencia del Tribunal Superior de Justicia de La Rioja de 12 de noviembre de 2021 (ponente Escanilla Pallás), desestima un nuevo recurso contra acto de aplicación del impuesto sobre el valor de la producción de la energía eléctrica. En numerosos casos precedentes</w:t>
      </w:r>
      <w:r>
        <w:rPr>
          <w:rStyle w:val="Refdenotaalpie"/>
          <w:lang w:val="es-ES"/>
        </w:rPr>
        <w:footnoteReference w:id="11"/>
      </w:r>
      <w:r w:rsidRPr="002A4F74">
        <w:rPr>
          <w:rFonts w:ascii="Arial" w:hAnsi="Arial"/>
          <w:lang w:val="es-ES"/>
        </w:rPr>
        <w:t>, la Sala ya había fijado su posición al respecto rechazando plantear cuestión de inconstitucionalidad contra la Ley estatal 15/2012, de 27 de diciembre, de medidas fiscales para la sostenibilidad energética, reguladora de este impuesto. Y lo había hecho transcribiendo el Auto del Tribunal Constitucional 69/2018, de 20 de junio, que inadmitió a trámite la cuestión de inconstitucionalidad planteada contra dicha Ley por el Tribunal Supremo. En esta ocasión, la recurrente también procedía a “solicitar curso a la declaración prejudicial por el Tribunal de Justicia de la Unión Europea”; cosa que la Sala de Logroño aprovecha para dejar constancia de la STJUE de 3 de marzo de 2021 (asunto C-220/19) que, como ya se indicó aquí, descarta cualquier colisión del tributo no sólo con las Directivas 2008/118/CE, relativa al régimen general de los impuestos especiales, y 2009/72/CE, sobre normas comunes para el mercado interior de la electricidad, sino también con la Directiva 2009/28/CE, relativa al fomento del uso de energía procedente de fuentes renovables.</w:t>
      </w:r>
    </w:p>
    <w:p w14:paraId="305FFD0F" w14:textId="23A09F39" w:rsidR="007C5C54" w:rsidRPr="007C5C54" w:rsidRDefault="007C5C54" w:rsidP="007C5C54">
      <w:pPr>
        <w:pStyle w:val="Ttulo2"/>
        <w:rPr>
          <w:lang w:val="es-ES"/>
        </w:rPr>
      </w:pPr>
      <w:r w:rsidRPr="007C5C54">
        <w:rPr>
          <w:lang w:val="es-ES"/>
        </w:rPr>
        <w:lastRenderedPageBreak/>
        <w:t>6.</w:t>
      </w:r>
      <w:r>
        <w:rPr>
          <w:lang w:val="es-ES"/>
        </w:rPr>
        <w:t>2</w:t>
      </w:r>
      <w:r w:rsidRPr="007C5C54">
        <w:rPr>
          <w:lang w:val="es-ES"/>
        </w:rPr>
        <w:t>.</w:t>
      </w:r>
      <w:r>
        <w:rPr>
          <w:lang w:val="es-ES"/>
        </w:rPr>
        <w:t xml:space="preserve"> </w:t>
      </w:r>
      <w:r w:rsidRPr="007C5C54">
        <w:rPr>
          <w:lang w:val="es-ES"/>
        </w:rPr>
        <w:t>Tasa por utilización privativa o aprovechamiento especial del dominio público local de las instalaciones de transporte de energía eléctrica, gas, agua e hidrocarburos</w:t>
      </w:r>
    </w:p>
    <w:sdt>
      <w:sdtPr>
        <w:rPr>
          <w:rFonts w:ascii="Arial" w:hAnsi="Arial"/>
          <w:lang w:val="fr-FR"/>
        </w:rPr>
        <w:id w:val="-2118138208"/>
        <w:placeholder>
          <w:docPart w:val="F3E9AEB1ED404818A61627C280AC9B43"/>
        </w:placeholder>
      </w:sdtPr>
      <w:sdtContent>
        <w:p w14:paraId="6D7C085B" w14:textId="3CD6EC7D" w:rsidR="007C5C54" w:rsidRPr="00740B4F" w:rsidRDefault="000E75E4" w:rsidP="007C5C54">
          <w:pPr>
            <w:rPr>
              <w:rFonts w:ascii="Arial" w:hAnsi="Arial"/>
              <w:lang w:val="es-ES"/>
            </w:rPr>
          </w:pPr>
          <w:r w:rsidRPr="000E75E4">
            <w:rPr>
              <w:rFonts w:ascii="Arial" w:hAnsi="Arial"/>
              <w:lang w:val="fr-FR"/>
            </w:rPr>
            <w:t xml:space="preserve">En fin, al </w:t>
          </w:r>
          <w:proofErr w:type="spellStart"/>
          <w:r w:rsidRPr="000E75E4">
            <w:rPr>
              <w:rFonts w:ascii="Arial" w:hAnsi="Arial"/>
              <w:lang w:val="fr-FR"/>
            </w:rPr>
            <w:t>igual</w:t>
          </w:r>
          <w:proofErr w:type="spellEnd"/>
          <w:r w:rsidRPr="000E75E4">
            <w:rPr>
              <w:rFonts w:ascii="Arial" w:hAnsi="Arial"/>
              <w:lang w:val="fr-FR"/>
            </w:rPr>
            <w:t xml:space="preserve"> que </w:t>
          </w:r>
          <w:proofErr w:type="spellStart"/>
          <w:r w:rsidRPr="000E75E4">
            <w:rPr>
              <w:rFonts w:ascii="Arial" w:hAnsi="Arial"/>
              <w:lang w:val="fr-FR"/>
            </w:rPr>
            <w:t>ya</w:t>
          </w:r>
          <w:proofErr w:type="spellEnd"/>
          <w:r w:rsidRPr="000E75E4">
            <w:rPr>
              <w:rFonts w:ascii="Arial" w:hAnsi="Arial"/>
              <w:lang w:val="fr-FR"/>
            </w:rPr>
            <w:t xml:space="preserve"> </w:t>
          </w:r>
          <w:proofErr w:type="spellStart"/>
          <w:r w:rsidRPr="000E75E4">
            <w:rPr>
              <w:rFonts w:ascii="Arial" w:hAnsi="Arial"/>
              <w:lang w:val="fr-FR"/>
            </w:rPr>
            <w:t>hiciera</w:t>
          </w:r>
          <w:proofErr w:type="spellEnd"/>
          <w:r w:rsidRPr="000E75E4">
            <w:rPr>
              <w:rFonts w:ascii="Arial" w:hAnsi="Arial"/>
              <w:lang w:val="fr-FR"/>
            </w:rPr>
            <w:t xml:space="preserve"> en sentencias </w:t>
          </w:r>
          <w:proofErr w:type="spellStart"/>
          <w:r w:rsidRPr="000E75E4">
            <w:rPr>
              <w:rFonts w:ascii="Arial" w:hAnsi="Arial"/>
              <w:lang w:val="fr-FR"/>
            </w:rPr>
            <w:t>previas</w:t>
          </w:r>
          <w:proofErr w:type="spellEnd"/>
          <w:r w:rsidRPr="000E75E4">
            <w:rPr>
              <w:rFonts w:ascii="Arial" w:hAnsi="Arial"/>
              <w:lang w:val="fr-FR"/>
            </w:rPr>
            <w:t xml:space="preserve"> </w:t>
          </w:r>
          <w:proofErr w:type="spellStart"/>
          <w:r w:rsidRPr="000E75E4">
            <w:rPr>
              <w:rFonts w:ascii="Arial" w:hAnsi="Arial"/>
              <w:lang w:val="fr-FR"/>
            </w:rPr>
            <w:t>relativas</w:t>
          </w:r>
          <w:proofErr w:type="spellEnd"/>
          <w:r w:rsidRPr="000E75E4">
            <w:rPr>
              <w:rFonts w:ascii="Arial" w:hAnsi="Arial"/>
              <w:lang w:val="fr-FR"/>
            </w:rPr>
            <w:t xml:space="preserve"> a </w:t>
          </w:r>
          <w:proofErr w:type="spellStart"/>
          <w:r w:rsidRPr="000E75E4">
            <w:rPr>
              <w:rFonts w:ascii="Arial" w:hAnsi="Arial"/>
              <w:lang w:val="fr-FR"/>
            </w:rPr>
            <w:t>ordenanzas</w:t>
          </w:r>
          <w:proofErr w:type="spellEnd"/>
          <w:r w:rsidRPr="000E75E4">
            <w:rPr>
              <w:rFonts w:ascii="Arial" w:hAnsi="Arial"/>
              <w:lang w:val="fr-FR"/>
            </w:rPr>
            <w:t xml:space="preserve"> </w:t>
          </w:r>
          <w:proofErr w:type="spellStart"/>
          <w:r w:rsidRPr="000E75E4">
            <w:rPr>
              <w:rFonts w:ascii="Arial" w:hAnsi="Arial"/>
              <w:lang w:val="fr-FR"/>
            </w:rPr>
            <w:t>homónimas</w:t>
          </w:r>
          <w:proofErr w:type="spellEnd"/>
          <w:r w:rsidRPr="000E75E4">
            <w:rPr>
              <w:rFonts w:ascii="Arial" w:hAnsi="Arial"/>
              <w:lang w:val="fr-FR"/>
            </w:rPr>
            <w:t xml:space="preserve"> de </w:t>
          </w:r>
          <w:proofErr w:type="spellStart"/>
          <w:r w:rsidRPr="000E75E4">
            <w:rPr>
              <w:rFonts w:ascii="Arial" w:hAnsi="Arial"/>
              <w:lang w:val="fr-FR"/>
            </w:rPr>
            <w:t>otros</w:t>
          </w:r>
          <w:proofErr w:type="spellEnd"/>
          <w:r w:rsidRPr="000E75E4">
            <w:rPr>
              <w:rFonts w:ascii="Arial" w:hAnsi="Arial"/>
              <w:lang w:val="fr-FR"/>
            </w:rPr>
            <w:t xml:space="preserve"> </w:t>
          </w:r>
          <w:proofErr w:type="spellStart"/>
          <w:r w:rsidRPr="000E75E4">
            <w:rPr>
              <w:rFonts w:ascii="Arial" w:hAnsi="Arial"/>
              <w:lang w:val="fr-FR"/>
            </w:rPr>
            <w:t>municipios</w:t>
          </w:r>
          <w:proofErr w:type="spellEnd"/>
          <w:r w:rsidRPr="000E75E4">
            <w:rPr>
              <w:rFonts w:ascii="Arial" w:hAnsi="Arial"/>
              <w:lang w:val="fr-FR"/>
            </w:rPr>
            <w:t xml:space="preserve">, la Sentencia </w:t>
          </w:r>
          <w:proofErr w:type="spellStart"/>
          <w:r w:rsidRPr="000E75E4">
            <w:rPr>
              <w:rFonts w:ascii="Arial" w:hAnsi="Arial"/>
              <w:lang w:val="fr-FR"/>
            </w:rPr>
            <w:t>del</w:t>
          </w:r>
          <w:proofErr w:type="spellEnd"/>
          <w:r w:rsidRPr="000E75E4">
            <w:rPr>
              <w:rFonts w:ascii="Arial" w:hAnsi="Arial"/>
              <w:lang w:val="fr-FR"/>
            </w:rPr>
            <w:t xml:space="preserve"> Tribunal Superior de </w:t>
          </w:r>
          <w:proofErr w:type="spellStart"/>
          <w:r w:rsidRPr="000E75E4">
            <w:rPr>
              <w:rFonts w:ascii="Arial" w:hAnsi="Arial"/>
              <w:lang w:val="fr-FR"/>
            </w:rPr>
            <w:t>Justicia</w:t>
          </w:r>
          <w:proofErr w:type="spellEnd"/>
          <w:r w:rsidRPr="000E75E4">
            <w:rPr>
              <w:rFonts w:ascii="Arial" w:hAnsi="Arial"/>
              <w:lang w:val="fr-FR"/>
            </w:rPr>
            <w:t xml:space="preserve"> de La Rioja de 28 de </w:t>
          </w:r>
          <w:proofErr w:type="spellStart"/>
          <w:r w:rsidRPr="000E75E4">
            <w:rPr>
              <w:rFonts w:ascii="Arial" w:hAnsi="Arial"/>
              <w:lang w:val="fr-FR"/>
            </w:rPr>
            <w:t>julio</w:t>
          </w:r>
          <w:proofErr w:type="spellEnd"/>
          <w:r w:rsidRPr="000E75E4">
            <w:rPr>
              <w:rFonts w:ascii="Arial" w:hAnsi="Arial"/>
              <w:lang w:val="fr-FR"/>
            </w:rPr>
            <w:t xml:space="preserve"> de 2021 (</w:t>
          </w:r>
          <w:proofErr w:type="spellStart"/>
          <w:r w:rsidRPr="000E75E4">
            <w:rPr>
              <w:rFonts w:ascii="Arial" w:hAnsi="Arial"/>
              <w:lang w:val="fr-FR"/>
            </w:rPr>
            <w:t>ponente</w:t>
          </w:r>
          <w:proofErr w:type="spellEnd"/>
          <w:r w:rsidRPr="000E75E4">
            <w:rPr>
              <w:rFonts w:ascii="Arial" w:hAnsi="Arial"/>
              <w:lang w:val="fr-FR"/>
            </w:rPr>
            <w:t xml:space="preserve"> </w:t>
          </w:r>
          <w:proofErr w:type="spellStart"/>
          <w:r w:rsidRPr="000E75E4">
            <w:rPr>
              <w:rFonts w:ascii="Arial" w:hAnsi="Arial"/>
              <w:lang w:val="fr-FR"/>
            </w:rPr>
            <w:t>Crespo</w:t>
          </w:r>
          <w:proofErr w:type="spellEnd"/>
          <w:r w:rsidRPr="000E75E4">
            <w:rPr>
              <w:rFonts w:ascii="Arial" w:hAnsi="Arial"/>
              <w:lang w:val="fr-FR"/>
            </w:rPr>
            <w:t xml:space="preserve"> </w:t>
          </w:r>
          <w:proofErr w:type="spellStart"/>
          <w:r w:rsidRPr="000E75E4">
            <w:rPr>
              <w:rFonts w:ascii="Arial" w:hAnsi="Arial"/>
              <w:lang w:val="fr-FR"/>
            </w:rPr>
            <w:t>Herce</w:t>
          </w:r>
          <w:proofErr w:type="spellEnd"/>
          <w:r w:rsidRPr="000E75E4">
            <w:rPr>
              <w:rFonts w:ascii="Arial" w:hAnsi="Arial"/>
              <w:lang w:val="fr-FR"/>
            </w:rPr>
            <w:t xml:space="preserve">) estima el </w:t>
          </w:r>
          <w:proofErr w:type="spellStart"/>
          <w:r w:rsidRPr="000E75E4">
            <w:rPr>
              <w:rFonts w:ascii="Arial" w:hAnsi="Arial"/>
              <w:lang w:val="fr-FR"/>
            </w:rPr>
            <w:t>recurso</w:t>
          </w:r>
          <w:proofErr w:type="spellEnd"/>
          <w:r w:rsidRPr="000E75E4">
            <w:rPr>
              <w:rFonts w:ascii="Arial" w:hAnsi="Arial"/>
              <w:lang w:val="fr-FR"/>
            </w:rPr>
            <w:t xml:space="preserve"> </w:t>
          </w:r>
          <w:proofErr w:type="spellStart"/>
          <w:r w:rsidRPr="000E75E4">
            <w:rPr>
              <w:rFonts w:ascii="Arial" w:hAnsi="Arial"/>
              <w:lang w:val="fr-FR"/>
            </w:rPr>
            <w:t>interpuesto</w:t>
          </w:r>
          <w:proofErr w:type="spellEnd"/>
          <w:r w:rsidRPr="000E75E4">
            <w:rPr>
              <w:rFonts w:ascii="Arial" w:hAnsi="Arial"/>
              <w:lang w:val="fr-FR"/>
            </w:rPr>
            <w:t xml:space="preserve"> </w:t>
          </w:r>
          <w:proofErr w:type="spellStart"/>
          <w:r w:rsidRPr="000E75E4">
            <w:rPr>
              <w:rFonts w:ascii="Arial" w:hAnsi="Arial"/>
              <w:lang w:val="fr-FR"/>
            </w:rPr>
            <w:t>por</w:t>
          </w:r>
          <w:proofErr w:type="spellEnd"/>
          <w:r w:rsidRPr="000E75E4">
            <w:rPr>
              <w:rFonts w:ascii="Arial" w:hAnsi="Arial"/>
              <w:lang w:val="fr-FR"/>
            </w:rPr>
            <w:t xml:space="preserve"> Red </w:t>
          </w:r>
          <w:proofErr w:type="spellStart"/>
          <w:r w:rsidRPr="000E75E4">
            <w:rPr>
              <w:rFonts w:ascii="Arial" w:hAnsi="Arial"/>
              <w:lang w:val="fr-FR"/>
            </w:rPr>
            <w:t>Eléctrica</w:t>
          </w:r>
          <w:proofErr w:type="spellEnd"/>
          <w:r w:rsidRPr="000E75E4">
            <w:rPr>
              <w:rFonts w:ascii="Arial" w:hAnsi="Arial"/>
              <w:lang w:val="fr-FR"/>
            </w:rPr>
            <w:t xml:space="preserve"> de España contra la </w:t>
          </w:r>
          <w:proofErr w:type="spellStart"/>
          <w:r w:rsidRPr="000E75E4">
            <w:rPr>
              <w:rFonts w:ascii="Arial" w:hAnsi="Arial"/>
              <w:lang w:val="fr-FR"/>
            </w:rPr>
            <w:t>Ordenanza</w:t>
          </w:r>
          <w:proofErr w:type="spellEnd"/>
          <w:r w:rsidRPr="000E75E4">
            <w:rPr>
              <w:rFonts w:ascii="Arial" w:hAnsi="Arial"/>
              <w:lang w:val="fr-FR"/>
            </w:rPr>
            <w:t xml:space="preserve"> </w:t>
          </w:r>
          <w:proofErr w:type="spellStart"/>
          <w:r w:rsidRPr="000E75E4">
            <w:rPr>
              <w:rFonts w:ascii="Arial" w:hAnsi="Arial"/>
              <w:lang w:val="fr-FR"/>
            </w:rPr>
            <w:t>del</w:t>
          </w:r>
          <w:proofErr w:type="spellEnd"/>
          <w:r w:rsidRPr="000E75E4">
            <w:rPr>
              <w:rFonts w:ascii="Arial" w:hAnsi="Arial"/>
              <w:lang w:val="fr-FR"/>
            </w:rPr>
            <w:t xml:space="preserve"> Ayuntamiento de </w:t>
          </w:r>
          <w:proofErr w:type="spellStart"/>
          <w:r w:rsidRPr="000E75E4">
            <w:rPr>
              <w:rFonts w:ascii="Arial" w:hAnsi="Arial"/>
              <w:lang w:val="fr-FR"/>
            </w:rPr>
            <w:t>Villalba</w:t>
          </w:r>
          <w:proofErr w:type="spellEnd"/>
          <w:r w:rsidRPr="000E75E4">
            <w:rPr>
              <w:rFonts w:ascii="Arial" w:hAnsi="Arial"/>
              <w:lang w:val="fr-FR"/>
            </w:rPr>
            <w:t xml:space="preserve"> de Rioja </w:t>
          </w:r>
          <w:proofErr w:type="spellStart"/>
          <w:r w:rsidRPr="000E75E4">
            <w:rPr>
              <w:rFonts w:ascii="Arial" w:hAnsi="Arial"/>
              <w:lang w:val="fr-FR"/>
            </w:rPr>
            <w:t>reguladora</w:t>
          </w:r>
          <w:proofErr w:type="spellEnd"/>
          <w:r w:rsidRPr="000E75E4">
            <w:rPr>
              <w:rFonts w:ascii="Arial" w:hAnsi="Arial"/>
              <w:lang w:val="fr-FR"/>
            </w:rPr>
            <w:t xml:space="preserve"> de la </w:t>
          </w:r>
          <w:proofErr w:type="spellStart"/>
          <w:r w:rsidRPr="000E75E4">
            <w:rPr>
              <w:rFonts w:ascii="Arial" w:hAnsi="Arial"/>
              <w:lang w:val="fr-FR"/>
            </w:rPr>
            <w:t>tasa</w:t>
          </w:r>
          <w:proofErr w:type="spellEnd"/>
          <w:r w:rsidRPr="000E75E4">
            <w:rPr>
              <w:rFonts w:ascii="Arial" w:hAnsi="Arial"/>
              <w:lang w:val="fr-FR"/>
            </w:rPr>
            <w:t xml:space="preserve"> </w:t>
          </w:r>
          <w:proofErr w:type="spellStart"/>
          <w:r w:rsidRPr="000E75E4">
            <w:rPr>
              <w:rFonts w:ascii="Arial" w:hAnsi="Arial"/>
              <w:lang w:val="fr-FR"/>
            </w:rPr>
            <w:t>por</w:t>
          </w:r>
          <w:proofErr w:type="spellEnd"/>
          <w:r w:rsidRPr="000E75E4">
            <w:rPr>
              <w:rFonts w:ascii="Arial" w:hAnsi="Arial"/>
              <w:lang w:val="fr-FR"/>
            </w:rPr>
            <w:t xml:space="preserve"> </w:t>
          </w:r>
          <w:proofErr w:type="spellStart"/>
          <w:r w:rsidRPr="000E75E4">
            <w:rPr>
              <w:rFonts w:ascii="Arial" w:hAnsi="Arial"/>
              <w:lang w:val="fr-FR"/>
            </w:rPr>
            <w:t>utilización</w:t>
          </w:r>
          <w:proofErr w:type="spellEnd"/>
          <w:r w:rsidRPr="000E75E4">
            <w:rPr>
              <w:rFonts w:ascii="Arial" w:hAnsi="Arial"/>
              <w:lang w:val="fr-FR"/>
            </w:rPr>
            <w:t xml:space="preserve"> </w:t>
          </w:r>
          <w:proofErr w:type="spellStart"/>
          <w:r w:rsidRPr="000E75E4">
            <w:rPr>
              <w:rFonts w:ascii="Arial" w:hAnsi="Arial"/>
              <w:lang w:val="fr-FR"/>
            </w:rPr>
            <w:t>privativa</w:t>
          </w:r>
          <w:proofErr w:type="spellEnd"/>
          <w:r w:rsidRPr="000E75E4">
            <w:rPr>
              <w:rFonts w:ascii="Arial" w:hAnsi="Arial"/>
              <w:lang w:val="fr-FR"/>
            </w:rPr>
            <w:t xml:space="preserve"> o </w:t>
          </w:r>
          <w:proofErr w:type="spellStart"/>
          <w:r w:rsidRPr="000E75E4">
            <w:rPr>
              <w:rFonts w:ascii="Arial" w:hAnsi="Arial"/>
              <w:lang w:val="fr-FR"/>
            </w:rPr>
            <w:t>aprovechamiento</w:t>
          </w:r>
          <w:proofErr w:type="spellEnd"/>
          <w:r w:rsidRPr="000E75E4">
            <w:rPr>
              <w:rFonts w:ascii="Arial" w:hAnsi="Arial"/>
              <w:lang w:val="fr-FR"/>
            </w:rPr>
            <w:t xml:space="preserve"> </w:t>
          </w:r>
          <w:proofErr w:type="spellStart"/>
          <w:r w:rsidRPr="000E75E4">
            <w:rPr>
              <w:rFonts w:ascii="Arial" w:hAnsi="Arial"/>
              <w:lang w:val="fr-FR"/>
            </w:rPr>
            <w:t>especial</w:t>
          </w:r>
          <w:proofErr w:type="spellEnd"/>
          <w:r w:rsidRPr="000E75E4">
            <w:rPr>
              <w:rFonts w:ascii="Arial" w:hAnsi="Arial"/>
              <w:lang w:val="fr-FR"/>
            </w:rPr>
            <w:t xml:space="preserve"> </w:t>
          </w:r>
          <w:proofErr w:type="spellStart"/>
          <w:r w:rsidRPr="000E75E4">
            <w:rPr>
              <w:rFonts w:ascii="Arial" w:hAnsi="Arial"/>
              <w:lang w:val="fr-FR"/>
            </w:rPr>
            <w:t>del</w:t>
          </w:r>
          <w:proofErr w:type="spellEnd"/>
          <w:r w:rsidRPr="000E75E4">
            <w:rPr>
              <w:rFonts w:ascii="Arial" w:hAnsi="Arial"/>
              <w:lang w:val="fr-FR"/>
            </w:rPr>
            <w:t xml:space="preserve"> </w:t>
          </w:r>
          <w:proofErr w:type="spellStart"/>
          <w:r w:rsidRPr="000E75E4">
            <w:rPr>
              <w:rFonts w:ascii="Arial" w:hAnsi="Arial"/>
              <w:lang w:val="fr-FR"/>
            </w:rPr>
            <w:t>dominio</w:t>
          </w:r>
          <w:proofErr w:type="spellEnd"/>
          <w:r w:rsidRPr="000E75E4">
            <w:rPr>
              <w:rFonts w:ascii="Arial" w:hAnsi="Arial"/>
              <w:lang w:val="fr-FR"/>
            </w:rPr>
            <w:t xml:space="preserve"> </w:t>
          </w:r>
          <w:proofErr w:type="spellStart"/>
          <w:r w:rsidRPr="000E75E4">
            <w:rPr>
              <w:rFonts w:ascii="Arial" w:hAnsi="Arial"/>
              <w:lang w:val="fr-FR"/>
            </w:rPr>
            <w:t>público</w:t>
          </w:r>
          <w:proofErr w:type="spellEnd"/>
          <w:r w:rsidRPr="000E75E4">
            <w:rPr>
              <w:rFonts w:ascii="Arial" w:hAnsi="Arial"/>
              <w:lang w:val="fr-FR"/>
            </w:rPr>
            <w:t xml:space="preserve"> local de las </w:t>
          </w:r>
          <w:proofErr w:type="spellStart"/>
          <w:r w:rsidRPr="000E75E4">
            <w:rPr>
              <w:rFonts w:ascii="Arial" w:hAnsi="Arial"/>
              <w:lang w:val="fr-FR"/>
            </w:rPr>
            <w:t>instalaciones</w:t>
          </w:r>
          <w:proofErr w:type="spellEnd"/>
          <w:r w:rsidRPr="000E75E4">
            <w:rPr>
              <w:rFonts w:ascii="Arial" w:hAnsi="Arial"/>
              <w:lang w:val="fr-FR"/>
            </w:rPr>
            <w:t xml:space="preserve"> de transporte de </w:t>
          </w:r>
          <w:proofErr w:type="spellStart"/>
          <w:r w:rsidRPr="000E75E4">
            <w:rPr>
              <w:rFonts w:ascii="Arial" w:hAnsi="Arial"/>
              <w:lang w:val="fr-FR"/>
            </w:rPr>
            <w:t>energía</w:t>
          </w:r>
          <w:proofErr w:type="spellEnd"/>
          <w:r w:rsidRPr="000E75E4">
            <w:rPr>
              <w:rFonts w:ascii="Arial" w:hAnsi="Arial"/>
              <w:lang w:val="fr-FR"/>
            </w:rPr>
            <w:t xml:space="preserve"> </w:t>
          </w:r>
          <w:proofErr w:type="spellStart"/>
          <w:r w:rsidRPr="000E75E4">
            <w:rPr>
              <w:rFonts w:ascii="Arial" w:hAnsi="Arial"/>
              <w:lang w:val="fr-FR"/>
            </w:rPr>
            <w:t>eléctrica</w:t>
          </w:r>
          <w:proofErr w:type="spellEnd"/>
          <w:r w:rsidRPr="000E75E4">
            <w:rPr>
              <w:rFonts w:ascii="Arial" w:hAnsi="Arial"/>
              <w:lang w:val="fr-FR"/>
            </w:rPr>
            <w:t xml:space="preserve">, </w:t>
          </w:r>
          <w:proofErr w:type="spellStart"/>
          <w:r w:rsidRPr="000E75E4">
            <w:rPr>
              <w:rFonts w:ascii="Arial" w:hAnsi="Arial"/>
              <w:lang w:val="fr-FR"/>
            </w:rPr>
            <w:t>gas</w:t>
          </w:r>
          <w:proofErr w:type="spellEnd"/>
          <w:r w:rsidRPr="000E75E4">
            <w:rPr>
              <w:rFonts w:ascii="Arial" w:hAnsi="Arial"/>
              <w:lang w:val="fr-FR"/>
            </w:rPr>
            <w:t xml:space="preserve">, </w:t>
          </w:r>
          <w:proofErr w:type="spellStart"/>
          <w:r w:rsidRPr="000E75E4">
            <w:rPr>
              <w:rFonts w:ascii="Arial" w:hAnsi="Arial"/>
              <w:lang w:val="fr-FR"/>
            </w:rPr>
            <w:t>agua</w:t>
          </w:r>
          <w:proofErr w:type="spellEnd"/>
          <w:r w:rsidRPr="000E75E4">
            <w:rPr>
              <w:rFonts w:ascii="Arial" w:hAnsi="Arial"/>
              <w:lang w:val="fr-FR"/>
            </w:rPr>
            <w:t xml:space="preserve"> e </w:t>
          </w:r>
          <w:proofErr w:type="spellStart"/>
          <w:r w:rsidRPr="000E75E4">
            <w:rPr>
              <w:rFonts w:ascii="Arial" w:hAnsi="Arial"/>
              <w:lang w:val="fr-FR"/>
            </w:rPr>
            <w:t>hidrocarburos</w:t>
          </w:r>
          <w:proofErr w:type="spellEnd"/>
          <w:r w:rsidRPr="000E75E4">
            <w:rPr>
              <w:rFonts w:ascii="Arial" w:hAnsi="Arial"/>
              <w:lang w:val="fr-FR"/>
            </w:rPr>
            <w:t xml:space="preserve">. El </w:t>
          </w:r>
          <w:proofErr w:type="spellStart"/>
          <w:r w:rsidRPr="000E75E4">
            <w:rPr>
              <w:rFonts w:ascii="Arial" w:hAnsi="Arial"/>
              <w:lang w:val="fr-FR"/>
            </w:rPr>
            <w:t>motivo</w:t>
          </w:r>
          <w:proofErr w:type="spellEnd"/>
          <w:r w:rsidRPr="000E75E4">
            <w:rPr>
              <w:rFonts w:ascii="Arial" w:hAnsi="Arial"/>
              <w:lang w:val="fr-FR"/>
            </w:rPr>
            <w:t xml:space="preserve"> </w:t>
          </w:r>
          <w:proofErr w:type="spellStart"/>
          <w:r w:rsidRPr="000E75E4">
            <w:rPr>
              <w:rFonts w:ascii="Arial" w:hAnsi="Arial"/>
              <w:lang w:val="fr-FR"/>
            </w:rPr>
            <w:t>vuelve</w:t>
          </w:r>
          <w:proofErr w:type="spellEnd"/>
          <w:r w:rsidRPr="000E75E4">
            <w:rPr>
              <w:rFonts w:ascii="Arial" w:hAnsi="Arial"/>
              <w:lang w:val="fr-FR"/>
            </w:rPr>
            <w:t xml:space="preserve"> a </w:t>
          </w:r>
          <w:proofErr w:type="spellStart"/>
          <w:r w:rsidRPr="000E75E4">
            <w:rPr>
              <w:rFonts w:ascii="Arial" w:hAnsi="Arial"/>
              <w:lang w:val="fr-FR"/>
            </w:rPr>
            <w:t>ser</w:t>
          </w:r>
          <w:proofErr w:type="spellEnd"/>
          <w:r w:rsidRPr="000E75E4">
            <w:rPr>
              <w:rFonts w:ascii="Arial" w:hAnsi="Arial"/>
              <w:lang w:val="fr-FR"/>
            </w:rPr>
            <w:t xml:space="preserve"> que </w:t>
          </w:r>
          <w:proofErr w:type="spellStart"/>
          <w:r w:rsidRPr="000E75E4">
            <w:rPr>
              <w:rFonts w:ascii="Arial" w:hAnsi="Arial"/>
              <w:lang w:val="fr-FR"/>
            </w:rPr>
            <w:t>establecer</w:t>
          </w:r>
          <w:proofErr w:type="spellEnd"/>
          <w:r w:rsidRPr="000E75E4">
            <w:rPr>
              <w:rFonts w:ascii="Arial" w:hAnsi="Arial"/>
              <w:lang w:val="fr-FR"/>
            </w:rPr>
            <w:t xml:space="preserve"> un </w:t>
          </w:r>
          <w:proofErr w:type="spellStart"/>
          <w:r w:rsidRPr="000E75E4">
            <w:rPr>
              <w:rFonts w:ascii="Arial" w:hAnsi="Arial"/>
              <w:lang w:val="fr-FR"/>
            </w:rPr>
            <w:t>tipo</w:t>
          </w:r>
          <w:proofErr w:type="spellEnd"/>
          <w:r w:rsidRPr="000E75E4">
            <w:rPr>
              <w:rFonts w:ascii="Arial" w:hAnsi="Arial"/>
              <w:lang w:val="fr-FR"/>
            </w:rPr>
            <w:t xml:space="preserve"> </w:t>
          </w:r>
          <w:proofErr w:type="spellStart"/>
          <w:r w:rsidRPr="000E75E4">
            <w:rPr>
              <w:rFonts w:ascii="Arial" w:hAnsi="Arial"/>
              <w:lang w:val="fr-FR"/>
            </w:rPr>
            <w:t>único</w:t>
          </w:r>
          <w:proofErr w:type="spellEnd"/>
          <w:r w:rsidRPr="000E75E4">
            <w:rPr>
              <w:rFonts w:ascii="Arial" w:hAnsi="Arial"/>
              <w:lang w:val="fr-FR"/>
            </w:rPr>
            <w:t xml:space="preserve"> de </w:t>
          </w:r>
          <w:proofErr w:type="spellStart"/>
          <w:r w:rsidRPr="000E75E4">
            <w:rPr>
              <w:rFonts w:ascii="Arial" w:hAnsi="Arial"/>
              <w:lang w:val="fr-FR"/>
            </w:rPr>
            <w:t>gravamen</w:t>
          </w:r>
          <w:proofErr w:type="spellEnd"/>
          <w:r w:rsidRPr="000E75E4">
            <w:rPr>
              <w:rFonts w:ascii="Arial" w:hAnsi="Arial"/>
              <w:lang w:val="fr-FR"/>
            </w:rPr>
            <w:t xml:space="preserve"> que no distingue entre </w:t>
          </w:r>
          <w:proofErr w:type="spellStart"/>
          <w:r w:rsidRPr="000E75E4">
            <w:rPr>
              <w:rFonts w:ascii="Arial" w:hAnsi="Arial"/>
              <w:lang w:val="fr-FR"/>
            </w:rPr>
            <w:t>aprovechamiento</w:t>
          </w:r>
          <w:proofErr w:type="spellEnd"/>
          <w:r w:rsidRPr="000E75E4">
            <w:rPr>
              <w:rFonts w:ascii="Arial" w:hAnsi="Arial"/>
              <w:lang w:val="fr-FR"/>
            </w:rPr>
            <w:t xml:space="preserve"> </w:t>
          </w:r>
          <w:proofErr w:type="spellStart"/>
          <w:r w:rsidRPr="000E75E4">
            <w:rPr>
              <w:rFonts w:ascii="Arial" w:hAnsi="Arial"/>
              <w:lang w:val="fr-FR"/>
            </w:rPr>
            <w:t>especial</w:t>
          </w:r>
          <w:proofErr w:type="spellEnd"/>
          <w:r w:rsidRPr="000E75E4">
            <w:rPr>
              <w:rFonts w:ascii="Arial" w:hAnsi="Arial"/>
              <w:lang w:val="fr-FR"/>
            </w:rPr>
            <w:t xml:space="preserve"> o </w:t>
          </w:r>
          <w:proofErr w:type="spellStart"/>
          <w:r w:rsidRPr="000E75E4">
            <w:rPr>
              <w:rFonts w:ascii="Arial" w:hAnsi="Arial"/>
              <w:lang w:val="fr-FR"/>
            </w:rPr>
            <w:t>utilización</w:t>
          </w:r>
          <w:proofErr w:type="spellEnd"/>
          <w:r w:rsidRPr="000E75E4">
            <w:rPr>
              <w:rFonts w:ascii="Arial" w:hAnsi="Arial"/>
              <w:lang w:val="fr-FR"/>
            </w:rPr>
            <w:t xml:space="preserve"> </w:t>
          </w:r>
          <w:proofErr w:type="spellStart"/>
          <w:r w:rsidRPr="000E75E4">
            <w:rPr>
              <w:rFonts w:ascii="Arial" w:hAnsi="Arial"/>
              <w:lang w:val="fr-FR"/>
            </w:rPr>
            <w:t>privativa</w:t>
          </w:r>
          <w:proofErr w:type="spellEnd"/>
          <w:r w:rsidRPr="000E75E4">
            <w:rPr>
              <w:rFonts w:ascii="Arial" w:hAnsi="Arial"/>
              <w:lang w:val="fr-FR"/>
            </w:rPr>
            <w:t xml:space="preserve"> </w:t>
          </w:r>
          <w:proofErr w:type="spellStart"/>
          <w:r w:rsidRPr="000E75E4">
            <w:rPr>
              <w:rFonts w:ascii="Arial" w:hAnsi="Arial"/>
              <w:lang w:val="fr-FR"/>
            </w:rPr>
            <w:t>del</w:t>
          </w:r>
          <w:proofErr w:type="spellEnd"/>
          <w:r w:rsidRPr="000E75E4">
            <w:rPr>
              <w:rFonts w:ascii="Arial" w:hAnsi="Arial"/>
              <w:lang w:val="fr-FR"/>
            </w:rPr>
            <w:t xml:space="preserve"> </w:t>
          </w:r>
          <w:proofErr w:type="spellStart"/>
          <w:r w:rsidRPr="000E75E4">
            <w:rPr>
              <w:rFonts w:ascii="Arial" w:hAnsi="Arial"/>
              <w:lang w:val="fr-FR"/>
            </w:rPr>
            <w:t>dominio</w:t>
          </w:r>
          <w:proofErr w:type="spellEnd"/>
          <w:r w:rsidRPr="000E75E4">
            <w:rPr>
              <w:rFonts w:ascii="Arial" w:hAnsi="Arial"/>
              <w:lang w:val="fr-FR"/>
            </w:rPr>
            <w:t xml:space="preserve"> </w:t>
          </w:r>
          <w:proofErr w:type="spellStart"/>
          <w:r w:rsidRPr="000E75E4">
            <w:rPr>
              <w:rFonts w:ascii="Arial" w:hAnsi="Arial"/>
              <w:lang w:val="fr-FR"/>
            </w:rPr>
            <w:t>público</w:t>
          </w:r>
          <w:proofErr w:type="spellEnd"/>
          <w:r w:rsidRPr="000E75E4">
            <w:rPr>
              <w:rFonts w:ascii="Arial" w:hAnsi="Arial"/>
              <w:lang w:val="fr-FR"/>
            </w:rPr>
            <w:t xml:space="preserve"> local </w:t>
          </w:r>
          <w:proofErr w:type="spellStart"/>
          <w:r w:rsidRPr="000E75E4">
            <w:rPr>
              <w:rFonts w:ascii="Arial" w:hAnsi="Arial"/>
              <w:lang w:val="fr-FR"/>
            </w:rPr>
            <w:t>constituye</w:t>
          </w:r>
          <w:proofErr w:type="spellEnd"/>
          <w:r w:rsidRPr="000E75E4">
            <w:rPr>
              <w:rFonts w:ascii="Arial" w:hAnsi="Arial"/>
              <w:lang w:val="fr-FR"/>
            </w:rPr>
            <w:t xml:space="preserve"> </w:t>
          </w:r>
          <w:proofErr w:type="spellStart"/>
          <w:r w:rsidRPr="000E75E4">
            <w:rPr>
              <w:rFonts w:ascii="Arial" w:hAnsi="Arial"/>
              <w:lang w:val="fr-FR"/>
            </w:rPr>
            <w:t>infracción</w:t>
          </w:r>
          <w:proofErr w:type="spellEnd"/>
          <w:r w:rsidRPr="000E75E4">
            <w:rPr>
              <w:rFonts w:ascii="Arial" w:hAnsi="Arial"/>
              <w:lang w:val="fr-FR"/>
            </w:rPr>
            <w:t xml:space="preserve"> </w:t>
          </w:r>
          <w:proofErr w:type="spellStart"/>
          <w:r w:rsidRPr="000E75E4">
            <w:rPr>
              <w:rFonts w:ascii="Arial" w:hAnsi="Arial"/>
              <w:lang w:val="fr-FR"/>
            </w:rPr>
            <w:t>del</w:t>
          </w:r>
          <w:proofErr w:type="spellEnd"/>
          <w:r w:rsidRPr="000E75E4">
            <w:rPr>
              <w:rFonts w:ascii="Arial" w:hAnsi="Arial"/>
              <w:lang w:val="fr-FR"/>
            </w:rPr>
            <w:t xml:space="preserve"> </w:t>
          </w:r>
          <w:proofErr w:type="spellStart"/>
          <w:r w:rsidRPr="000E75E4">
            <w:rPr>
              <w:rFonts w:ascii="Arial" w:hAnsi="Arial"/>
              <w:lang w:val="fr-FR"/>
            </w:rPr>
            <w:t>artículo</w:t>
          </w:r>
          <w:proofErr w:type="spellEnd"/>
          <w:r w:rsidRPr="000E75E4">
            <w:rPr>
              <w:rFonts w:ascii="Arial" w:hAnsi="Arial"/>
              <w:lang w:val="fr-FR"/>
            </w:rPr>
            <w:t xml:space="preserve"> 24.1.a) TRLHL.</w:t>
          </w:r>
        </w:p>
      </w:sdtContent>
    </w:sdt>
    <w:p w14:paraId="32C1C39F" w14:textId="77777777" w:rsidR="00BC14E3" w:rsidRPr="007C5C54" w:rsidRDefault="00BC14E3" w:rsidP="00BC14E3">
      <w:pPr>
        <w:rPr>
          <w:rFonts w:ascii="Arial" w:hAnsi="Arial"/>
          <w:lang w:val="es-ES"/>
        </w:rPr>
      </w:pPr>
    </w:p>
    <w:p w14:paraId="4E7A6E7F" w14:textId="77777777" w:rsidR="00BC14E3" w:rsidRPr="00740B4F" w:rsidRDefault="00BC14E3" w:rsidP="00BC14E3">
      <w:pPr>
        <w:rPr>
          <w:rFonts w:ascii="Arial" w:hAnsi="Arial"/>
          <w:lang w:val="es-ES_tradnl"/>
        </w:rPr>
      </w:pPr>
    </w:p>
    <w:p w14:paraId="49EDDFC5" w14:textId="77777777" w:rsidR="00BC14E3" w:rsidRPr="00740B4F" w:rsidRDefault="00BC14E3" w:rsidP="00BC14E3">
      <w:pPr>
        <w:rPr>
          <w:rFonts w:ascii="Arial" w:hAnsi="Arial"/>
          <w:lang w:val="es-ES_tradnl"/>
        </w:rPr>
      </w:pPr>
    </w:p>
    <w:p w14:paraId="45AE560B" w14:textId="77777777" w:rsidR="00BC14E3" w:rsidRPr="00740B4F" w:rsidRDefault="00BC14E3" w:rsidP="00BC14E3">
      <w:pPr>
        <w:rPr>
          <w:rFonts w:ascii="Arial" w:hAnsi="Arial"/>
          <w:lang w:val="es-ES_tradnl"/>
        </w:rPr>
      </w:pPr>
    </w:p>
    <w:p w14:paraId="4C27B6CB" w14:textId="77777777" w:rsidR="00BC14E3" w:rsidRPr="00740B4F" w:rsidRDefault="00BC14E3" w:rsidP="00BC14E3">
      <w:pPr>
        <w:rPr>
          <w:rFonts w:ascii="Arial" w:hAnsi="Arial"/>
          <w:lang w:val="es-ES_tradnl"/>
        </w:rPr>
      </w:pPr>
    </w:p>
    <w:p w14:paraId="3ACB311D" w14:textId="77777777" w:rsidR="00DD3CC8" w:rsidRPr="00740B4F" w:rsidRDefault="00DD3CC8" w:rsidP="00372E91">
      <w:pPr>
        <w:rPr>
          <w:rFonts w:ascii="Arial" w:hAnsi="Arial"/>
          <w:lang w:val="es-ES_tradnl"/>
        </w:rPr>
      </w:pPr>
    </w:p>
    <w:sectPr w:rsidR="00DD3CC8" w:rsidRPr="00740B4F"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8436" w14:textId="77777777" w:rsidR="00793223" w:rsidRDefault="00793223" w:rsidP="00BE68CB">
      <w:pPr>
        <w:spacing w:after="0" w:line="240" w:lineRule="auto"/>
      </w:pPr>
      <w:r>
        <w:separator/>
      </w:r>
    </w:p>
  </w:endnote>
  <w:endnote w:type="continuationSeparator" w:id="0">
    <w:p w14:paraId="4B4D6D61" w14:textId="77777777" w:rsidR="00793223" w:rsidRDefault="00793223"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45BF722B" w:rsidR="00BF31E0" w:rsidRPr="00CD129E" w:rsidRDefault="00351202" w:rsidP="00351202">
    <w:pPr>
      <w:pStyle w:val="Piedepgina"/>
      <w:rPr>
        <w:lang w:val="pt-BR"/>
      </w:rPr>
    </w:pPr>
    <w:r w:rsidRPr="00CD129E">
      <w:rPr>
        <w:lang w:val="pt-BR"/>
      </w:rPr>
      <w:t>[</w:t>
    </w:r>
    <w:r w:rsidR="00CD129E" w:rsidRPr="00CD129E">
      <w:rPr>
        <w:lang w:val="pt-BR"/>
      </w:rPr>
      <w:t xml:space="preserve">DOI: </w:t>
    </w:r>
    <w:hyperlink r:id="rId1" w:history="1">
      <w:r w:rsidR="00EF57E1" w:rsidRPr="00250BFF">
        <w:rPr>
          <w:rStyle w:val="Hipervnculo"/>
          <w:lang w:val="pt-BR"/>
        </w:rPr>
        <w:t>http://dx.doi.org/10.17345/rcda.</w:t>
      </w:r>
      <w:r w:rsidR="00EF57E1" w:rsidRPr="00250BFF">
        <w:rPr>
          <w:rStyle w:val="Hipervnculo"/>
          <w:lang w:val="pt-BR"/>
        </w:rPr>
        <w:t>3418</w:t>
      </w:r>
    </w:hyperlink>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FE5F" w14:textId="77777777" w:rsidR="00793223" w:rsidRDefault="00793223" w:rsidP="00BE68CB">
      <w:pPr>
        <w:spacing w:after="0" w:line="240" w:lineRule="auto"/>
      </w:pPr>
      <w:r>
        <w:separator/>
      </w:r>
    </w:p>
  </w:footnote>
  <w:footnote w:type="continuationSeparator" w:id="0">
    <w:p w14:paraId="0CD48679" w14:textId="77777777" w:rsidR="00793223" w:rsidRDefault="00793223" w:rsidP="00BE68CB">
      <w:pPr>
        <w:spacing w:after="0" w:line="240" w:lineRule="auto"/>
      </w:pPr>
      <w:r>
        <w:continuationSeparator/>
      </w:r>
    </w:p>
  </w:footnote>
  <w:footnote w:id="1">
    <w:p w14:paraId="0A27CDC6" w14:textId="6265DEDB" w:rsidR="00F96791" w:rsidRPr="00F96791" w:rsidRDefault="00F96791">
      <w:pPr>
        <w:pStyle w:val="Textonotapie"/>
        <w:rPr>
          <w:lang w:val="es-ES"/>
        </w:rPr>
      </w:pPr>
      <w:r>
        <w:rPr>
          <w:rStyle w:val="Refdenotaalpie"/>
        </w:rPr>
        <w:footnoteRef/>
      </w:r>
      <w:r>
        <w:t xml:space="preserve"> </w:t>
      </w:r>
      <w:r w:rsidR="000E45D7" w:rsidRPr="000E45D7">
        <w:t>Esta publicación es parte del proyecto de I+D+i RTI2018-097216-B-I00, “El Derecho Español ante los Retos Inminentes de la Economía Circular” (DERIEC), financiado por MCIN/ AEI/10.13039/501100011033 y FEDER “Una manera de hacer Europa”.</w:t>
      </w:r>
    </w:p>
  </w:footnote>
  <w:footnote w:id="2">
    <w:p w14:paraId="497AC1E7" w14:textId="39D0BD46" w:rsidR="00121657" w:rsidRPr="00D66E2E" w:rsidRDefault="00121657">
      <w:pPr>
        <w:pStyle w:val="Textonotapie"/>
        <w:rPr>
          <w:lang w:val="pt-PT"/>
        </w:rPr>
      </w:pPr>
      <w:r>
        <w:rPr>
          <w:rStyle w:val="Refdenotaalpie"/>
        </w:rPr>
        <w:footnoteRef/>
      </w:r>
      <w:r>
        <w:t xml:space="preserve"> </w:t>
      </w:r>
      <w:r w:rsidR="00D66E2E">
        <w:t xml:space="preserve">Lucía Muñoz Benito, “Derecho y políticas ambientales en La Rioja. </w:t>
      </w:r>
      <w:r w:rsidR="00D66E2E" w:rsidRPr="00D66E2E">
        <w:rPr>
          <w:lang w:val="pt-PT"/>
        </w:rPr>
        <w:t xml:space="preserve">(Segundo semestre 2022)”, </w:t>
      </w:r>
      <w:r w:rsidR="00D66E2E" w:rsidRPr="00D66E2E">
        <w:rPr>
          <w:i/>
          <w:iCs/>
          <w:lang w:val="pt-PT"/>
        </w:rPr>
        <w:t>Revista Catalana de Dret Ambiental</w:t>
      </w:r>
      <w:r w:rsidR="00D66E2E" w:rsidRPr="00D66E2E">
        <w:rPr>
          <w:lang w:val="pt-PT"/>
        </w:rPr>
        <w:t xml:space="preserve">, vol.13, núm. 2, 2022.  </w:t>
      </w:r>
    </w:p>
  </w:footnote>
  <w:footnote w:id="3">
    <w:p w14:paraId="60ED5A70" w14:textId="7388130B" w:rsidR="00605A3D" w:rsidRPr="00605A3D" w:rsidRDefault="00605A3D">
      <w:pPr>
        <w:pStyle w:val="Textonotapie"/>
        <w:rPr>
          <w:lang w:val="es-ES"/>
        </w:rPr>
      </w:pPr>
      <w:r>
        <w:rPr>
          <w:rStyle w:val="Refdenotaalpie"/>
        </w:rPr>
        <w:footnoteRef/>
      </w:r>
      <w:r>
        <w:t xml:space="preserve"> </w:t>
      </w:r>
      <w:r w:rsidR="006D47B5" w:rsidRPr="006D47B5">
        <w:t>Con carácter general, advierte que este “boom micológico” también “puede dar lugar a graves problemas de sostenibilidad para el monte y para el propio recurso”, Blanca Rodríguez-Chaves Mimbrero, “Los aprovechamientos micológicos. Notas sobre su regulación y proyección en España en el contexto de la nueva estrategia forestal de la UE (2030) y de la nueva PAC 2023-2027”, Revista Aranzadi de Derecho Ambiental, 51 (2022), pp. 85-144.</w:t>
      </w:r>
    </w:p>
  </w:footnote>
  <w:footnote w:id="4">
    <w:p w14:paraId="1C9A6BF0" w14:textId="0499E739" w:rsidR="00917769" w:rsidRPr="00917769" w:rsidRDefault="00917769">
      <w:pPr>
        <w:pStyle w:val="Textonotapie"/>
        <w:rPr>
          <w:lang w:val="es-ES"/>
        </w:rPr>
      </w:pPr>
      <w:r>
        <w:rPr>
          <w:rStyle w:val="Refdenotaalpie"/>
        </w:rPr>
        <w:footnoteRef/>
      </w:r>
      <w:r>
        <w:t xml:space="preserve"> </w:t>
      </w:r>
      <w:r w:rsidR="00524E1D">
        <w:t>Por aplicación del artículo 45.1 LEA, que dice lo siguiente:</w:t>
      </w:r>
      <w:r w:rsidR="00524E1D">
        <w:t xml:space="preserve"> “</w:t>
      </w:r>
      <w:r w:rsidR="00524E1D">
        <w:t xml:space="preserve">Dentro del procedimiento sustantivo de autorización del proyecto, el promotor presentará ante el órgano sustantivo, junto con la documentación exigida por la legislación sectorial, una solicitud de inicio de la evaluación de impacto ambiental simplificada”.  </w:t>
      </w:r>
    </w:p>
  </w:footnote>
  <w:footnote w:id="5">
    <w:p w14:paraId="6938A272" w14:textId="3EA73E13" w:rsidR="00524E1D" w:rsidRPr="00524E1D" w:rsidRDefault="00524E1D">
      <w:pPr>
        <w:pStyle w:val="Textonotapie"/>
        <w:rPr>
          <w:lang w:val="es-ES"/>
        </w:rPr>
      </w:pPr>
      <w:r>
        <w:rPr>
          <w:rStyle w:val="Refdenotaalpie"/>
        </w:rPr>
        <w:footnoteRef/>
      </w:r>
      <w:r>
        <w:t xml:space="preserve"> </w:t>
      </w:r>
      <w:r>
        <w:t xml:space="preserve">Confusión ya presente, por cierto, en la antes citada Sentencia de 30 de junio de 2021: “El recurrente ha de responsabilizarse del desarrollo de la actividad en una planta de la que es titular, sobre la que pesa una autorización ambiental que le sujeta a una serie de condiciones y sobre la que ostenta la cualidad de promotor de la obra”.  </w:t>
      </w:r>
    </w:p>
  </w:footnote>
  <w:footnote w:id="6">
    <w:p w14:paraId="4F31B4F2" w14:textId="38809E75" w:rsidR="00F937F4" w:rsidRPr="00F937F4" w:rsidRDefault="00F937F4">
      <w:pPr>
        <w:pStyle w:val="Textonotapie"/>
        <w:rPr>
          <w:lang w:val="es-ES"/>
        </w:rPr>
      </w:pPr>
      <w:r>
        <w:rPr>
          <w:rStyle w:val="Refdenotaalpie"/>
        </w:rPr>
        <w:footnoteRef/>
      </w:r>
      <w:r>
        <w:t xml:space="preserve"> </w:t>
      </w:r>
      <w:r w:rsidR="001C04B1">
        <w:t xml:space="preserve">Para más detalles sobre esas otras técnicas, René Javier Santamaría </w:t>
      </w:r>
      <w:proofErr w:type="spellStart"/>
      <w:r w:rsidR="001C04B1">
        <w:t>Arinas</w:t>
      </w:r>
      <w:proofErr w:type="spellEnd"/>
      <w:r w:rsidR="001C04B1">
        <w:t xml:space="preserve">, “La Rioja: la esperada reforma de la Ley de protección del medio ambiente”, en F. López Ramón (coord.), </w:t>
      </w:r>
      <w:r w:rsidR="001C04B1">
        <w:rPr>
          <w:i/>
          <w:iCs/>
        </w:rPr>
        <w:t>Observatorio de Políticas Ambientales 2018</w:t>
      </w:r>
      <w:r w:rsidR="001C04B1">
        <w:t xml:space="preserve">, CIEDA-CIEMAT, Madrid, 2018, pp. 1165-1198.  </w:t>
      </w:r>
    </w:p>
  </w:footnote>
  <w:footnote w:id="7">
    <w:p w14:paraId="09A2A183" w14:textId="4992A3FF" w:rsidR="001D50F5" w:rsidRPr="001D50F5" w:rsidRDefault="001D50F5">
      <w:pPr>
        <w:pStyle w:val="Textonotapie"/>
        <w:rPr>
          <w:lang w:val="es-ES"/>
        </w:rPr>
      </w:pPr>
      <w:r>
        <w:rPr>
          <w:rStyle w:val="Refdenotaalpie"/>
        </w:rPr>
        <w:footnoteRef/>
      </w:r>
      <w:r>
        <w:t xml:space="preserve"> </w:t>
      </w:r>
      <w:r w:rsidR="00CB2DAB" w:rsidRPr="00CB2DAB">
        <w:t xml:space="preserve">No sin “carencias técnicas” que ya se han puesto de relieve en René Javier Santamaría </w:t>
      </w:r>
      <w:proofErr w:type="spellStart"/>
      <w:r w:rsidR="00CB2DAB" w:rsidRPr="00CB2DAB">
        <w:t>Arinas</w:t>
      </w:r>
      <w:proofErr w:type="spellEnd"/>
      <w:r w:rsidR="00CB2DAB" w:rsidRPr="00CB2DAB">
        <w:t>, “La Rioja: Paradojas en el desarrollo reglamentario de la Ley de protección del medio ambiente”, en F. López Ramón (coord.), Observatorio de Políticas Ambientales 2019, CIEDA-CIEMAT, Madrid, 2019, pp. 1196 y 1197.</w:t>
      </w:r>
    </w:p>
  </w:footnote>
  <w:footnote w:id="8">
    <w:p w14:paraId="418534B6" w14:textId="20F35FDE" w:rsidR="00DD1019" w:rsidRPr="00DD1019" w:rsidRDefault="00DD1019">
      <w:pPr>
        <w:pStyle w:val="Textonotapie"/>
        <w:rPr>
          <w:lang w:val="es-ES"/>
        </w:rPr>
      </w:pPr>
      <w:r>
        <w:rPr>
          <w:rStyle w:val="Refdenotaalpie"/>
        </w:rPr>
        <w:footnoteRef/>
      </w:r>
      <w:r>
        <w:t xml:space="preserve"> </w:t>
      </w:r>
      <w:r>
        <w:t xml:space="preserve">Sobre la recepción de la potestad de restablecimiento de la legalidad en el artículo 36 LRSCEC y sus vínculos con la potestad sancionadora, véase Ángel Ruiz de Apodaca, “El ¿nuevo? régimen de autorización y comunicación de las actividades de producción y gestión de residuos (arts. 33 a 36 LRSCEC)”, en J.J Pernas García (Dir.), </w:t>
      </w:r>
      <w:r>
        <w:rPr>
          <w:i/>
          <w:iCs/>
        </w:rPr>
        <w:t>Estudio sistemático sobre la Ley 7/2022, de 8 de abril, de residuos y suelos contaminados para una economía circular</w:t>
      </w:r>
      <w:r>
        <w:t xml:space="preserve">, Monografía XXI de la Revista Aragonesa de Administración Pública, 2022, pp. 347 y 386.  </w:t>
      </w:r>
    </w:p>
  </w:footnote>
  <w:footnote w:id="9">
    <w:p w14:paraId="0BEEA501" w14:textId="0D38FF41" w:rsidR="005E1D27" w:rsidRPr="005E1D27" w:rsidRDefault="005E1D27">
      <w:pPr>
        <w:pStyle w:val="Textonotapie"/>
        <w:rPr>
          <w:lang w:val="es-ES"/>
        </w:rPr>
      </w:pPr>
      <w:r>
        <w:rPr>
          <w:rStyle w:val="Refdenotaalpie"/>
        </w:rPr>
        <w:footnoteRef/>
      </w:r>
      <w:r>
        <w:t xml:space="preserve"> </w:t>
      </w:r>
      <w:r w:rsidR="009C3936">
        <w:t xml:space="preserve">Razonamiento que ya estaba presente también en la antes citada Sentencia, de la misma ponente, de 30 de junio de 2021 respecto de otra instalación de gestión de residuos.  </w:t>
      </w:r>
    </w:p>
  </w:footnote>
  <w:footnote w:id="10">
    <w:p w14:paraId="5FEFAA69" w14:textId="06F3E094" w:rsidR="00041581" w:rsidRPr="00041581" w:rsidRDefault="00041581">
      <w:pPr>
        <w:pStyle w:val="Textonotapie"/>
        <w:rPr>
          <w:lang w:val="es-ES"/>
        </w:rPr>
      </w:pPr>
      <w:r>
        <w:rPr>
          <w:rStyle w:val="Refdenotaalpie"/>
        </w:rPr>
        <w:footnoteRef/>
      </w:r>
      <w:r>
        <w:t xml:space="preserve"> </w:t>
      </w:r>
      <w:r>
        <w:t xml:space="preserve">Sobre esta regulación, con especial atención a sus puntos oscuros, René Javier Santamaría </w:t>
      </w:r>
      <w:proofErr w:type="spellStart"/>
      <w:r>
        <w:t>Arinas</w:t>
      </w:r>
      <w:proofErr w:type="spellEnd"/>
      <w:r>
        <w:t xml:space="preserve">, “La Rioja: territorio, sector agrario y cambio político”, en B. Lozano </w:t>
      </w:r>
      <w:proofErr w:type="spellStart"/>
      <w:r>
        <w:t>Cutanda</w:t>
      </w:r>
      <w:proofErr w:type="spellEnd"/>
      <w:r>
        <w:t xml:space="preserve"> y otros (</w:t>
      </w:r>
      <w:proofErr w:type="spellStart"/>
      <w:r>
        <w:t>coords</w:t>
      </w:r>
      <w:proofErr w:type="spellEnd"/>
      <w:r>
        <w:t xml:space="preserve">.), </w:t>
      </w:r>
      <w:r>
        <w:rPr>
          <w:i/>
          <w:iCs/>
        </w:rPr>
        <w:t xml:space="preserve">Observatorio de Políticas Ambientales 2020, </w:t>
      </w:r>
      <w:r>
        <w:t xml:space="preserve">CIEDA-CIEMAT, 2020, pp. 1159-1181.  </w:t>
      </w:r>
    </w:p>
  </w:footnote>
  <w:footnote w:id="11">
    <w:p w14:paraId="4239C922" w14:textId="40CBD23D" w:rsidR="002A4F74" w:rsidRPr="002A4F74" w:rsidRDefault="002A4F74">
      <w:pPr>
        <w:pStyle w:val="Textonotapie"/>
        <w:rPr>
          <w:lang w:val="es-ES"/>
        </w:rPr>
      </w:pPr>
      <w:r>
        <w:rPr>
          <w:rStyle w:val="Refdenotaalpie"/>
        </w:rPr>
        <w:footnoteRef/>
      </w:r>
      <w:r>
        <w:t xml:space="preserve"> </w:t>
      </w:r>
      <w:r w:rsidR="00094EAB">
        <w:t xml:space="preserve">Recogidos, sucesivamente, por Lucía Muñoz Benito, “Jurisprudencia ambiental en La Rioja (Primer semestre de 2020)”, </w:t>
      </w:r>
      <w:r w:rsidR="00094EAB">
        <w:rPr>
          <w:i/>
          <w:iCs/>
        </w:rPr>
        <w:t xml:space="preserve">Revista Catalana de </w:t>
      </w:r>
      <w:proofErr w:type="spellStart"/>
      <w:r w:rsidR="00094EAB">
        <w:rPr>
          <w:i/>
          <w:iCs/>
        </w:rPr>
        <w:t>Dret</w:t>
      </w:r>
      <w:proofErr w:type="spellEnd"/>
      <w:r w:rsidR="00094EAB">
        <w:rPr>
          <w:i/>
          <w:iCs/>
        </w:rPr>
        <w:t xml:space="preserve"> Ambiental</w:t>
      </w:r>
      <w:r w:rsidR="00094EAB">
        <w:t xml:space="preserve">, Vol. XI Núm. 1 (2020) y por René Javier Santamaría </w:t>
      </w:r>
      <w:proofErr w:type="spellStart"/>
      <w:r w:rsidR="00094EAB">
        <w:t>Arinas</w:t>
      </w:r>
      <w:proofErr w:type="spellEnd"/>
      <w:r w:rsidR="00094EAB">
        <w:t xml:space="preserve">, “Jurisprudencia ambiental en La Rioja. (Primer semestre de 2021)”, </w:t>
      </w:r>
      <w:r w:rsidR="00094EAB">
        <w:rPr>
          <w:i/>
          <w:iCs/>
        </w:rPr>
        <w:t xml:space="preserve">Revista Catalana de </w:t>
      </w:r>
      <w:proofErr w:type="spellStart"/>
      <w:r w:rsidR="00094EAB">
        <w:rPr>
          <w:i/>
          <w:iCs/>
        </w:rPr>
        <w:t>Dret</w:t>
      </w:r>
      <w:proofErr w:type="spellEnd"/>
      <w:r w:rsidR="00094EAB">
        <w:rPr>
          <w:i/>
          <w:iCs/>
        </w:rPr>
        <w:t xml:space="preserve"> Ambiental</w:t>
      </w:r>
      <w:r w:rsidR="00094EAB">
        <w:t xml:space="preserve">, Vol. XI Núm. 1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7CE6EB73" w:rsidR="006127B4" w:rsidRPr="00A97BD8" w:rsidRDefault="0091194C">
    <w:pPr>
      <w:pStyle w:val="Encabezado"/>
    </w:pPr>
    <w:r>
      <w:t>R</w:t>
    </w:r>
    <w:r w:rsidR="006127B4">
      <w:t>.</w:t>
    </w:r>
    <w:r>
      <w:t xml:space="preserve"> J. </w:t>
    </w:r>
    <w:r w:rsidRPr="0091194C">
      <w:t>S</w:t>
    </w:r>
    <w:r w:rsidRPr="0091194C">
      <w:t xml:space="preserve">antamaría </w:t>
    </w:r>
    <w:proofErr w:type="spellStart"/>
    <w:r w:rsidRPr="0091194C">
      <w:t>A</w:t>
    </w:r>
    <w:r w:rsidRPr="0091194C">
      <w:t>rinas</w:t>
    </w:r>
    <w:proofErr w:type="spellEnd"/>
    <w:r>
      <w:t xml:space="preserve"> </w:t>
    </w:r>
    <w:r w:rsidR="006127B4">
      <w:tab/>
    </w:r>
    <w:r w:rsidR="006127B4">
      <w:tab/>
    </w:r>
    <w:r w:rsidR="006127B4">
      <w:rPr>
        <w:i/>
      </w:rPr>
      <w:t xml:space="preserve">RCDA </w:t>
    </w:r>
    <w:r w:rsidR="006127B4">
      <w:t xml:space="preserve">Vol. </w:t>
    </w:r>
    <w:r w:rsidR="006F57AE">
      <w:t>XIII</w:t>
    </w:r>
    <w:r w:rsidR="006127B4">
      <w:t xml:space="preserve"> Núm. </w:t>
    </w:r>
    <w:r w:rsidR="006F57AE">
      <w:t>2</w:t>
    </w:r>
    <w:r w:rsidR="006127B4">
      <w:t xml:space="preserve"> (20</w:t>
    </w:r>
    <w:r w:rsidR="006F57AE">
      <w:t>22</w:t>
    </w:r>
    <w:r w:rsidR="006127B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45AD8C94" w:rsidR="006127B4" w:rsidRPr="009D38C8" w:rsidRDefault="006127B4">
    <w:pPr>
      <w:pStyle w:val="Encabezado"/>
      <w:rPr>
        <w:lang w:val="es-ES"/>
      </w:rPr>
    </w:pPr>
    <w:r w:rsidRPr="000128E0">
      <w:rPr>
        <w:i/>
        <w:lang w:val="pt-BR"/>
      </w:rPr>
      <w:t>RCDA</w:t>
    </w:r>
    <w:r w:rsidRPr="000128E0">
      <w:rPr>
        <w:lang w:val="pt-BR"/>
      </w:rPr>
      <w:t xml:space="preserve"> Vol. </w:t>
    </w:r>
    <w:r w:rsidR="006F57AE" w:rsidRPr="009D38C8">
      <w:rPr>
        <w:lang w:val="es-ES"/>
      </w:rPr>
      <w:t>X</w:t>
    </w:r>
    <w:r w:rsidR="006B3FFD" w:rsidRPr="009D38C8">
      <w:rPr>
        <w:lang w:val="es-ES"/>
      </w:rPr>
      <w:t>III</w:t>
    </w:r>
    <w:r w:rsidRPr="009D38C8">
      <w:rPr>
        <w:lang w:val="es-ES"/>
      </w:rPr>
      <w:t xml:space="preserve"> Núm. </w:t>
    </w:r>
    <w:r w:rsidR="006B3FFD" w:rsidRPr="009D38C8">
      <w:rPr>
        <w:lang w:val="es-ES"/>
      </w:rPr>
      <w:t>2</w:t>
    </w:r>
    <w:r w:rsidRPr="009D38C8">
      <w:rPr>
        <w:lang w:val="es-ES"/>
      </w:rPr>
      <w:t xml:space="preserve"> (20</w:t>
    </w:r>
    <w:r w:rsidR="006B3FFD" w:rsidRPr="009D38C8">
      <w:rPr>
        <w:lang w:val="es-ES"/>
      </w:rPr>
      <w:t>22</w:t>
    </w:r>
    <w:r w:rsidRPr="009D38C8">
      <w:rPr>
        <w:lang w:val="es-ES"/>
      </w:rPr>
      <w:t>)</w:t>
    </w:r>
    <w:r w:rsidRPr="009D38C8">
      <w:rPr>
        <w:lang w:val="es-ES"/>
      </w:rPr>
      <w:tab/>
    </w:r>
    <w:r w:rsidRPr="009D38C8">
      <w:rPr>
        <w:lang w:val="es-ES"/>
      </w:rPr>
      <w:tab/>
    </w:r>
    <w:r w:rsidR="009D38C8" w:rsidRPr="009D38C8">
      <w:rPr>
        <w:lang w:val="es-ES"/>
      </w:rPr>
      <w:t xml:space="preserve">Juri </w:t>
    </w:r>
    <w:proofErr w:type="spellStart"/>
    <w:r w:rsidR="009D38C8" w:rsidRPr="009D38C8">
      <w:rPr>
        <w:lang w:val="es-ES"/>
      </w:rPr>
      <w:t>Ambien</w:t>
    </w:r>
    <w:proofErr w:type="spellEnd"/>
    <w:r w:rsidR="009D38C8" w:rsidRPr="009D38C8">
      <w:rPr>
        <w:lang w:val="es-ES"/>
      </w:rPr>
      <w:t xml:space="preserve"> La R</w:t>
    </w:r>
    <w:r w:rsidR="009D38C8">
      <w:rPr>
        <w:lang w:val="es-ES"/>
      </w:rPr>
      <w:t>ioja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2AA00C8E" w:rsidR="006127B4" w:rsidRDefault="006127B4" w:rsidP="00A97BD8">
    <w:pPr>
      <w:pStyle w:val="Encabezado"/>
      <w:jc w:val="center"/>
    </w:pPr>
    <w:r>
      <w:rPr>
        <w:i/>
      </w:rPr>
      <w:t>REVISTA CATALANA DE DRET AMBIENTAL</w:t>
    </w:r>
    <w:r>
      <w:t xml:space="preserve"> Vol. </w:t>
    </w:r>
    <w:r w:rsidR="005A0B33">
      <w:t>XIII</w:t>
    </w:r>
    <w:r>
      <w:t xml:space="preserve"> Núm. </w:t>
    </w:r>
    <w:r w:rsidR="005A0B33">
      <w:t>2</w:t>
    </w:r>
    <w:r>
      <w:t xml:space="preserve"> (20</w:t>
    </w:r>
    <w:r w:rsidR="005A0B33">
      <w:t>22</w:t>
    </w:r>
    <w:r>
      <w:t xml:space="preserve">): 1 – </w:t>
    </w:r>
    <w:r w:rsidR="000E75E4">
      <w:t>21</w:t>
    </w:r>
  </w:p>
  <w:p w14:paraId="6E467AB7" w14:textId="21D7873E" w:rsidR="006127B4" w:rsidRPr="00A97BD8" w:rsidRDefault="006127B4" w:rsidP="00A97BD8">
    <w:pPr>
      <w:pStyle w:val="Encabezado"/>
      <w:jc w:val="center"/>
    </w:pPr>
    <w:r>
      <w:t>-</w:t>
    </w:r>
    <w:proofErr w:type="spellStart"/>
    <w:r>
      <w:t>Crònica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128E0"/>
    <w:rsid w:val="000211B4"/>
    <w:rsid w:val="00041581"/>
    <w:rsid w:val="000458B7"/>
    <w:rsid w:val="00045BEC"/>
    <w:rsid w:val="00057E4C"/>
    <w:rsid w:val="000620B9"/>
    <w:rsid w:val="00080BBA"/>
    <w:rsid w:val="00087953"/>
    <w:rsid w:val="00094EAB"/>
    <w:rsid w:val="0009571B"/>
    <w:rsid w:val="000A0930"/>
    <w:rsid w:val="000D2E05"/>
    <w:rsid w:val="000E45D7"/>
    <w:rsid w:val="000E75E4"/>
    <w:rsid w:val="00107A76"/>
    <w:rsid w:val="001116AA"/>
    <w:rsid w:val="00121657"/>
    <w:rsid w:val="001421DD"/>
    <w:rsid w:val="001746E8"/>
    <w:rsid w:val="00174DC1"/>
    <w:rsid w:val="00174F50"/>
    <w:rsid w:val="001826D6"/>
    <w:rsid w:val="00192736"/>
    <w:rsid w:val="001A4A45"/>
    <w:rsid w:val="001A7319"/>
    <w:rsid w:val="001B1D26"/>
    <w:rsid w:val="001B6829"/>
    <w:rsid w:val="001C04B1"/>
    <w:rsid w:val="001D398B"/>
    <w:rsid w:val="001D50F5"/>
    <w:rsid w:val="001D7F04"/>
    <w:rsid w:val="001D7FB9"/>
    <w:rsid w:val="001F1932"/>
    <w:rsid w:val="00202DDB"/>
    <w:rsid w:val="00204909"/>
    <w:rsid w:val="0022298C"/>
    <w:rsid w:val="002339BA"/>
    <w:rsid w:val="002640EB"/>
    <w:rsid w:val="00274E5F"/>
    <w:rsid w:val="00280C31"/>
    <w:rsid w:val="0028311E"/>
    <w:rsid w:val="00290105"/>
    <w:rsid w:val="002A4F74"/>
    <w:rsid w:val="002A595F"/>
    <w:rsid w:val="002A7252"/>
    <w:rsid w:val="002B368C"/>
    <w:rsid w:val="002C5BC0"/>
    <w:rsid w:val="002D6792"/>
    <w:rsid w:val="002D7147"/>
    <w:rsid w:val="00311E72"/>
    <w:rsid w:val="00321C9B"/>
    <w:rsid w:val="00345D93"/>
    <w:rsid w:val="00351202"/>
    <w:rsid w:val="00372E91"/>
    <w:rsid w:val="00375898"/>
    <w:rsid w:val="003774FD"/>
    <w:rsid w:val="003B21C0"/>
    <w:rsid w:val="003C7912"/>
    <w:rsid w:val="003D19A7"/>
    <w:rsid w:val="00404419"/>
    <w:rsid w:val="004064AB"/>
    <w:rsid w:val="00442B87"/>
    <w:rsid w:val="004635A5"/>
    <w:rsid w:val="00475E9B"/>
    <w:rsid w:val="0049512B"/>
    <w:rsid w:val="004D5EA3"/>
    <w:rsid w:val="005061B9"/>
    <w:rsid w:val="0051069A"/>
    <w:rsid w:val="00514FE2"/>
    <w:rsid w:val="00524E1D"/>
    <w:rsid w:val="005872FE"/>
    <w:rsid w:val="00591D85"/>
    <w:rsid w:val="00595D3E"/>
    <w:rsid w:val="005A0B33"/>
    <w:rsid w:val="005A2DDC"/>
    <w:rsid w:val="005E1D27"/>
    <w:rsid w:val="005F3967"/>
    <w:rsid w:val="00605A3D"/>
    <w:rsid w:val="006127B4"/>
    <w:rsid w:val="0063330B"/>
    <w:rsid w:val="00646563"/>
    <w:rsid w:val="0064789B"/>
    <w:rsid w:val="00663F44"/>
    <w:rsid w:val="00687F3D"/>
    <w:rsid w:val="006A14FA"/>
    <w:rsid w:val="006B3FFD"/>
    <w:rsid w:val="006C3ECE"/>
    <w:rsid w:val="006D47B5"/>
    <w:rsid w:val="006F57AE"/>
    <w:rsid w:val="007028BF"/>
    <w:rsid w:val="00720A6B"/>
    <w:rsid w:val="007261C1"/>
    <w:rsid w:val="00740B4F"/>
    <w:rsid w:val="00745F31"/>
    <w:rsid w:val="00781131"/>
    <w:rsid w:val="00785617"/>
    <w:rsid w:val="00785BA0"/>
    <w:rsid w:val="00786E15"/>
    <w:rsid w:val="00793223"/>
    <w:rsid w:val="007A447C"/>
    <w:rsid w:val="007B0370"/>
    <w:rsid w:val="007B2FCD"/>
    <w:rsid w:val="007B41A0"/>
    <w:rsid w:val="007C1B89"/>
    <w:rsid w:val="007C5C54"/>
    <w:rsid w:val="007D620D"/>
    <w:rsid w:val="007F546E"/>
    <w:rsid w:val="00807224"/>
    <w:rsid w:val="00892136"/>
    <w:rsid w:val="008A42FC"/>
    <w:rsid w:val="008B5B37"/>
    <w:rsid w:val="008D78BC"/>
    <w:rsid w:val="008D7A5C"/>
    <w:rsid w:val="009009F4"/>
    <w:rsid w:val="0091123C"/>
    <w:rsid w:val="0091194C"/>
    <w:rsid w:val="00917769"/>
    <w:rsid w:val="00917857"/>
    <w:rsid w:val="00926003"/>
    <w:rsid w:val="009453B6"/>
    <w:rsid w:val="0095362E"/>
    <w:rsid w:val="00953DA4"/>
    <w:rsid w:val="009A299F"/>
    <w:rsid w:val="009A6C3B"/>
    <w:rsid w:val="009B0871"/>
    <w:rsid w:val="009B69EC"/>
    <w:rsid w:val="009C3936"/>
    <w:rsid w:val="009C619A"/>
    <w:rsid w:val="009D0F1F"/>
    <w:rsid w:val="009D38C8"/>
    <w:rsid w:val="009D4065"/>
    <w:rsid w:val="009D5AF5"/>
    <w:rsid w:val="009F042D"/>
    <w:rsid w:val="009F36C9"/>
    <w:rsid w:val="009F742D"/>
    <w:rsid w:val="00A07751"/>
    <w:rsid w:val="00A10B3F"/>
    <w:rsid w:val="00A25AC6"/>
    <w:rsid w:val="00A25F83"/>
    <w:rsid w:val="00A3309C"/>
    <w:rsid w:val="00A50955"/>
    <w:rsid w:val="00A70C5E"/>
    <w:rsid w:val="00A87B21"/>
    <w:rsid w:val="00A97BD8"/>
    <w:rsid w:val="00AA12F4"/>
    <w:rsid w:val="00AA6F54"/>
    <w:rsid w:val="00AB0ECF"/>
    <w:rsid w:val="00B01412"/>
    <w:rsid w:val="00B04513"/>
    <w:rsid w:val="00B40D93"/>
    <w:rsid w:val="00B4268C"/>
    <w:rsid w:val="00B472B0"/>
    <w:rsid w:val="00B53D0A"/>
    <w:rsid w:val="00B64CA9"/>
    <w:rsid w:val="00B71C16"/>
    <w:rsid w:val="00B93119"/>
    <w:rsid w:val="00BA2806"/>
    <w:rsid w:val="00BC14E3"/>
    <w:rsid w:val="00BD232E"/>
    <w:rsid w:val="00BD4FF3"/>
    <w:rsid w:val="00BE2972"/>
    <w:rsid w:val="00BE3BE8"/>
    <w:rsid w:val="00BE68CB"/>
    <w:rsid w:val="00BF31E0"/>
    <w:rsid w:val="00BF37BB"/>
    <w:rsid w:val="00BF52B5"/>
    <w:rsid w:val="00BF632C"/>
    <w:rsid w:val="00C25669"/>
    <w:rsid w:val="00C2753C"/>
    <w:rsid w:val="00C34CCB"/>
    <w:rsid w:val="00C47218"/>
    <w:rsid w:val="00C51BF3"/>
    <w:rsid w:val="00CB043D"/>
    <w:rsid w:val="00CB22ED"/>
    <w:rsid w:val="00CB2DAB"/>
    <w:rsid w:val="00CC2115"/>
    <w:rsid w:val="00CD129E"/>
    <w:rsid w:val="00CF00B9"/>
    <w:rsid w:val="00D15CF3"/>
    <w:rsid w:val="00D17BCF"/>
    <w:rsid w:val="00D30004"/>
    <w:rsid w:val="00D30429"/>
    <w:rsid w:val="00D46B04"/>
    <w:rsid w:val="00D54CF1"/>
    <w:rsid w:val="00D66E2E"/>
    <w:rsid w:val="00D83C19"/>
    <w:rsid w:val="00DC1B9F"/>
    <w:rsid w:val="00DD1019"/>
    <w:rsid w:val="00DD3CC8"/>
    <w:rsid w:val="00DE7601"/>
    <w:rsid w:val="00DF5C97"/>
    <w:rsid w:val="00E1419A"/>
    <w:rsid w:val="00E41CB2"/>
    <w:rsid w:val="00E4506D"/>
    <w:rsid w:val="00E66E9A"/>
    <w:rsid w:val="00E87BD6"/>
    <w:rsid w:val="00EA33EB"/>
    <w:rsid w:val="00EB2385"/>
    <w:rsid w:val="00EB7827"/>
    <w:rsid w:val="00EE6B6F"/>
    <w:rsid w:val="00EF57E1"/>
    <w:rsid w:val="00EF5A59"/>
    <w:rsid w:val="00EF5A78"/>
    <w:rsid w:val="00F24487"/>
    <w:rsid w:val="00F26ED6"/>
    <w:rsid w:val="00F342E5"/>
    <w:rsid w:val="00F36B5C"/>
    <w:rsid w:val="00F44D79"/>
    <w:rsid w:val="00F45314"/>
    <w:rsid w:val="00F57D6F"/>
    <w:rsid w:val="00F6267D"/>
    <w:rsid w:val="00F6520E"/>
    <w:rsid w:val="00F937F4"/>
    <w:rsid w:val="00F96791"/>
    <w:rsid w:val="00FC7FB9"/>
    <w:rsid w:val="00FD419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6127B4"/>
    <w:pPr>
      <w:keepNext/>
      <w:keepLines/>
      <w:spacing w:before="360" w:after="120"/>
      <w:outlineLvl w:val="0"/>
    </w:pPr>
    <w:rPr>
      <w:rFonts w:eastAsiaTheme="majorEastAsia" w:cs="Times New Roman"/>
      <w:b/>
      <w:szCs w:val="24"/>
      <w:lang w:val="es-ES_tradnl"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6127B4"/>
    <w:rPr>
      <w:rFonts w:ascii="Times New Roman" w:eastAsiaTheme="majorEastAsia" w:hAnsi="Times New Roman" w:cs="Times New Roman"/>
      <w:b/>
      <w:lang w:eastAsia="es-ES"/>
    </w:rPr>
  </w:style>
  <w:style w:type="paragraph" w:styleId="Subttulo">
    <w:name w:val="Subtitle"/>
    <w:basedOn w:val="Normal"/>
    <w:next w:val="Normal"/>
    <w:link w:val="SubttuloCar"/>
    <w:autoRedefine/>
    <w:uiPriority w:val="11"/>
    <w:qFormat/>
    <w:rsid w:val="000128E0"/>
    <w:pPr>
      <w:numPr>
        <w:ilvl w:val="1"/>
      </w:numPr>
      <w:spacing w:after="0"/>
      <w:jc w:val="center"/>
    </w:pPr>
    <w:rPr>
      <w:rFonts w:eastAsiaTheme="majorEastAsia" w:cstheme="majorBidi"/>
      <w:iCs/>
      <w:spacing w:val="15"/>
      <w:szCs w:val="24"/>
      <w:lang w:val="es-ES" w:eastAsia="es-ES"/>
    </w:rPr>
  </w:style>
  <w:style w:type="character" w:customStyle="1" w:styleId="SubttuloCar">
    <w:name w:val="Subtítulo Car"/>
    <w:basedOn w:val="Fuentedeprrafopredeter"/>
    <w:link w:val="Subttulo"/>
    <w:uiPriority w:val="11"/>
    <w:rsid w:val="000128E0"/>
    <w:rPr>
      <w:rFonts w:ascii="Times New Roman" w:eastAsiaTheme="majorEastAsia" w:hAnsi="Times New Roman"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val="0"/>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unhideWhenUsed/>
    <w:rsid w:val="00CD129E"/>
    <w:rPr>
      <w:color w:val="0563C1"/>
      <w:u w:val="single"/>
    </w:rPr>
  </w:style>
  <w:style w:type="character" w:styleId="Mencinsinresolver">
    <w:name w:val="Unresolved Mention"/>
    <w:basedOn w:val="Fuentedeprrafopredeter"/>
    <w:uiPriority w:val="99"/>
    <w:semiHidden/>
    <w:unhideWhenUsed/>
    <w:rsid w:val="00EF5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dx.doi.org/10.17345/rcda.3418%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B8690E6FCE456FA5DDAAA276D61FA5"/>
        <w:category>
          <w:name w:val="General"/>
          <w:gallery w:val="placeholder"/>
        </w:category>
        <w:types>
          <w:type w:val="bbPlcHdr"/>
        </w:types>
        <w:behaviors>
          <w:behavior w:val="content"/>
        </w:behaviors>
        <w:guid w:val="{6AF0F462-95A9-445E-9734-9A46F0CB24EE}"/>
      </w:docPartPr>
      <w:docPartBody>
        <w:p w:rsidR="00000000" w:rsidRDefault="00E45E40" w:rsidP="00E45E40">
          <w:pPr>
            <w:pStyle w:val="95B8690E6FCE456FA5DDAAA276D61FA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C2AB89F92829499F80A6C7FEB328248B"/>
        <w:category>
          <w:name w:val="General"/>
          <w:gallery w:val="placeholder"/>
        </w:category>
        <w:types>
          <w:type w:val="bbPlcHdr"/>
        </w:types>
        <w:behaviors>
          <w:behavior w:val="content"/>
        </w:behaviors>
        <w:guid w:val="{B5E4E1CB-7788-47B8-8FFE-C0AA38336504}"/>
      </w:docPartPr>
      <w:docPartBody>
        <w:p w:rsidR="00000000" w:rsidRDefault="00E45E40" w:rsidP="00E45E40">
          <w:pPr>
            <w:pStyle w:val="C2AB89F92829499F80A6C7FEB328248B"/>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D7A2CEA942884BADB5FAA58828EF32E4"/>
        <w:category>
          <w:name w:val="General"/>
          <w:gallery w:val="placeholder"/>
        </w:category>
        <w:types>
          <w:type w:val="bbPlcHdr"/>
        </w:types>
        <w:behaviors>
          <w:behavior w:val="content"/>
        </w:behaviors>
        <w:guid w:val="{2E07A626-5296-49CC-9511-5766E6D40B29}"/>
      </w:docPartPr>
      <w:docPartBody>
        <w:p w:rsidR="00000000" w:rsidRDefault="00E45E40" w:rsidP="00E45E40">
          <w:pPr>
            <w:pStyle w:val="D7A2CEA942884BADB5FAA58828EF32E4"/>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023CCB53CC8B42FD92FFA3B6EA49CC3A"/>
        <w:category>
          <w:name w:val="General"/>
          <w:gallery w:val="placeholder"/>
        </w:category>
        <w:types>
          <w:type w:val="bbPlcHdr"/>
        </w:types>
        <w:behaviors>
          <w:behavior w:val="content"/>
        </w:behaviors>
        <w:guid w:val="{EAFF6117-B77D-44A1-AE31-BB7DD0FA825E}"/>
      </w:docPartPr>
      <w:docPartBody>
        <w:p w:rsidR="00000000" w:rsidRDefault="00E45E40" w:rsidP="00E45E40">
          <w:pPr>
            <w:pStyle w:val="023CCB53CC8B42FD92FFA3B6EA49CC3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1C88C1E9A0BB4712A6034E28E178F30A"/>
        <w:category>
          <w:name w:val="General"/>
          <w:gallery w:val="placeholder"/>
        </w:category>
        <w:types>
          <w:type w:val="bbPlcHdr"/>
        </w:types>
        <w:behaviors>
          <w:behavior w:val="content"/>
        </w:behaviors>
        <w:guid w:val="{8029BAAF-7D46-4492-889A-E89349129DEC}"/>
      </w:docPartPr>
      <w:docPartBody>
        <w:p w:rsidR="00000000" w:rsidRDefault="00E45E40" w:rsidP="00E45E40">
          <w:pPr>
            <w:pStyle w:val="1C88C1E9A0BB4712A6034E28E178F30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F3E9AEB1ED404818A61627C280AC9B43"/>
        <w:category>
          <w:name w:val="General"/>
          <w:gallery w:val="placeholder"/>
        </w:category>
        <w:types>
          <w:type w:val="bbPlcHdr"/>
        </w:types>
        <w:behaviors>
          <w:behavior w:val="content"/>
        </w:behaviors>
        <w:guid w:val="{B38B9496-2B48-42C4-BABC-BAF2D68F9EE7}"/>
      </w:docPartPr>
      <w:docPartBody>
        <w:p w:rsidR="00000000" w:rsidRDefault="00E45E40" w:rsidP="00E45E40">
          <w:pPr>
            <w:pStyle w:val="F3E9AEB1ED404818A61627C280AC9B43"/>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76"/>
    <w:rsid w:val="001119B4"/>
    <w:rsid w:val="00496A2D"/>
    <w:rsid w:val="005C1F03"/>
    <w:rsid w:val="005F1E7E"/>
    <w:rsid w:val="005F30FB"/>
    <w:rsid w:val="007113ED"/>
    <w:rsid w:val="007207C5"/>
    <w:rsid w:val="00A33D8A"/>
    <w:rsid w:val="00A47176"/>
    <w:rsid w:val="00CD107D"/>
    <w:rsid w:val="00D65D1A"/>
    <w:rsid w:val="00E45E40"/>
    <w:rsid w:val="00F334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0D186B3A1C14B8C50968E27B2802A">
    <w:name w:val="DFB0D186B3A1C14B8C50968E27B2802A"/>
    <w:rsid w:val="00A47176"/>
  </w:style>
  <w:style w:type="paragraph" w:customStyle="1" w:styleId="2665EA5B637922429CD5EE5E5088F25E">
    <w:name w:val="2665EA5B637922429CD5EE5E5088F25E"/>
    <w:rsid w:val="00A47176"/>
  </w:style>
  <w:style w:type="paragraph" w:customStyle="1" w:styleId="A70F4EEB55E64A41B9EB95A5BF8BA645">
    <w:name w:val="A70F4EEB55E64A41B9EB95A5BF8BA645"/>
    <w:rsid w:val="00A47176"/>
  </w:style>
  <w:style w:type="paragraph" w:customStyle="1" w:styleId="4503972F5913064381C88F40BF90E1ED">
    <w:name w:val="4503972F5913064381C88F40BF90E1ED"/>
    <w:rsid w:val="00A47176"/>
  </w:style>
  <w:style w:type="paragraph" w:customStyle="1" w:styleId="B8F6DFD3443FF64FA58DF92C8CE9EDA1">
    <w:name w:val="B8F6DFD3443FF64FA58DF92C8CE9EDA1"/>
    <w:rsid w:val="00A47176"/>
  </w:style>
  <w:style w:type="paragraph" w:customStyle="1" w:styleId="95D825F17DA8F249815AF18AD657FB85">
    <w:name w:val="95D825F17DA8F249815AF18AD657FB85"/>
    <w:rsid w:val="00A47176"/>
  </w:style>
  <w:style w:type="paragraph" w:customStyle="1" w:styleId="F40865971A39C044BF99FDF23A9D887A">
    <w:name w:val="F40865971A39C044BF99FDF23A9D887A"/>
    <w:rsid w:val="00A47176"/>
  </w:style>
  <w:style w:type="paragraph" w:customStyle="1" w:styleId="C9102477E60D4391A44A0D1C557C1286">
    <w:name w:val="C9102477E60D4391A44A0D1C557C1286"/>
    <w:rsid w:val="00E45E40"/>
    <w:pPr>
      <w:spacing w:after="160" w:line="259" w:lineRule="auto"/>
    </w:pPr>
    <w:rPr>
      <w:sz w:val="22"/>
      <w:szCs w:val="22"/>
      <w:lang w:eastAsia="es-ES"/>
    </w:rPr>
  </w:style>
  <w:style w:type="paragraph" w:customStyle="1" w:styleId="B219C9D8103B497DAC05609BE33DE9FF">
    <w:name w:val="B219C9D8103B497DAC05609BE33DE9FF"/>
    <w:rsid w:val="00E45E40"/>
    <w:pPr>
      <w:spacing w:after="160" w:line="259" w:lineRule="auto"/>
    </w:pPr>
    <w:rPr>
      <w:sz w:val="22"/>
      <w:szCs w:val="22"/>
      <w:lang w:eastAsia="es-ES"/>
    </w:rPr>
  </w:style>
  <w:style w:type="paragraph" w:customStyle="1" w:styleId="3891222E31BF4E5EA2E06666B736CF36">
    <w:name w:val="3891222E31BF4E5EA2E06666B736CF36"/>
    <w:rsid w:val="00E45E40"/>
    <w:pPr>
      <w:spacing w:after="160" w:line="259" w:lineRule="auto"/>
    </w:pPr>
    <w:rPr>
      <w:sz w:val="22"/>
      <w:szCs w:val="22"/>
      <w:lang w:eastAsia="es-ES"/>
    </w:rPr>
  </w:style>
  <w:style w:type="paragraph" w:customStyle="1" w:styleId="E62DB291EDA64B40871740C32E913C5C">
    <w:name w:val="E62DB291EDA64B40871740C32E913C5C"/>
    <w:rsid w:val="00E45E40"/>
    <w:pPr>
      <w:spacing w:after="160" w:line="259" w:lineRule="auto"/>
    </w:pPr>
    <w:rPr>
      <w:sz w:val="22"/>
      <w:szCs w:val="22"/>
      <w:lang w:eastAsia="es-ES"/>
    </w:rPr>
  </w:style>
  <w:style w:type="paragraph" w:customStyle="1" w:styleId="A40277DFCE5B49E3B89DD87425887EA7">
    <w:name w:val="A40277DFCE5B49E3B89DD87425887EA7"/>
    <w:rsid w:val="00E45E40"/>
    <w:pPr>
      <w:spacing w:after="160" w:line="259" w:lineRule="auto"/>
    </w:pPr>
    <w:rPr>
      <w:sz w:val="22"/>
      <w:szCs w:val="22"/>
      <w:lang w:eastAsia="es-ES"/>
    </w:rPr>
  </w:style>
  <w:style w:type="paragraph" w:customStyle="1" w:styleId="A3ED15EB05E74815882A46380BDD8961">
    <w:name w:val="A3ED15EB05E74815882A46380BDD8961"/>
    <w:rsid w:val="00E45E40"/>
    <w:pPr>
      <w:spacing w:after="160" w:line="259" w:lineRule="auto"/>
    </w:pPr>
    <w:rPr>
      <w:sz w:val="22"/>
      <w:szCs w:val="22"/>
      <w:lang w:eastAsia="es-ES"/>
    </w:rPr>
  </w:style>
  <w:style w:type="paragraph" w:customStyle="1" w:styleId="CB0B5295A3914F62B2AA77E3B6BB6139">
    <w:name w:val="CB0B5295A3914F62B2AA77E3B6BB6139"/>
    <w:rsid w:val="00E45E40"/>
    <w:pPr>
      <w:spacing w:after="160" w:line="259" w:lineRule="auto"/>
    </w:pPr>
    <w:rPr>
      <w:sz w:val="22"/>
      <w:szCs w:val="22"/>
      <w:lang w:eastAsia="es-ES"/>
    </w:rPr>
  </w:style>
  <w:style w:type="paragraph" w:customStyle="1" w:styleId="E49CFF3A80B64356B0BC9395D654FC9B">
    <w:name w:val="E49CFF3A80B64356B0BC9395D654FC9B"/>
    <w:rsid w:val="00E45E40"/>
    <w:pPr>
      <w:spacing w:after="160" w:line="259" w:lineRule="auto"/>
    </w:pPr>
    <w:rPr>
      <w:sz w:val="22"/>
      <w:szCs w:val="22"/>
      <w:lang w:eastAsia="es-ES"/>
    </w:rPr>
  </w:style>
  <w:style w:type="paragraph" w:customStyle="1" w:styleId="A0F3F4EE98E9476BB5465415B53553BE">
    <w:name w:val="A0F3F4EE98E9476BB5465415B53553BE"/>
    <w:rsid w:val="00E45E40"/>
    <w:pPr>
      <w:spacing w:after="160" w:line="259" w:lineRule="auto"/>
    </w:pPr>
    <w:rPr>
      <w:sz w:val="22"/>
      <w:szCs w:val="22"/>
      <w:lang w:eastAsia="es-ES"/>
    </w:rPr>
  </w:style>
  <w:style w:type="paragraph" w:customStyle="1" w:styleId="5EDA2D58B9684D02938C7ABCDB265F49">
    <w:name w:val="5EDA2D58B9684D02938C7ABCDB265F49"/>
    <w:rsid w:val="00E45E40"/>
    <w:pPr>
      <w:spacing w:after="160" w:line="259" w:lineRule="auto"/>
    </w:pPr>
    <w:rPr>
      <w:sz w:val="22"/>
      <w:szCs w:val="22"/>
      <w:lang w:eastAsia="es-ES"/>
    </w:rPr>
  </w:style>
  <w:style w:type="paragraph" w:customStyle="1" w:styleId="C3A72E96449E40A39A2ECB08F6BE4A64">
    <w:name w:val="C3A72E96449E40A39A2ECB08F6BE4A64"/>
    <w:rsid w:val="00E45E40"/>
    <w:pPr>
      <w:spacing w:after="160" w:line="259" w:lineRule="auto"/>
    </w:pPr>
    <w:rPr>
      <w:sz w:val="22"/>
      <w:szCs w:val="22"/>
      <w:lang w:eastAsia="es-ES"/>
    </w:rPr>
  </w:style>
  <w:style w:type="paragraph" w:customStyle="1" w:styleId="D4E87AECFC6B436684ED6F29C0F88BF4">
    <w:name w:val="D4E87AECFC6B436684ED6F29C0F88BF4"/>
    <w:rsid w:val="00E45E40"/>
    <w:pPr>
      <w:spacing w:after="160" w:line="259" w:lineRule="auto"/>
    </w:pPr>
    <w:rPr>
      <w:sz w:val="22"/>
      <w:szCs w:val="22"/>
      <w:lang w:eastAsia="es-ES"/>
    </w:rPr>
  </w:style>
  <w:style w:type="paragraph" w:customStyle="1" w:styleId="385383AE16FF49EE99705218A4C65125">
    <w:name w:val="385383AE16FF49EE99705218A4C65125"/>
    <w:rsid w:val="00E45E40"/>
    <w:pPr>
      <w:spacing w:after="160" w:line="259" w:lineRule="auto"/>
    </w:pPr>
    <w:rPr>
      <w:sz w:val="22"/>
      <w:szCs w:val="22"/>
      <w:lang w:eastAsia="es-ES"/>
    </w:rPr>
  </w:style>
  <w:style w:type="paragraph" w:customStyle="1" w:styleId="C0AE9F144C344C65AF2421B691A72C6E">
    <w:name w:val="C0AE9F144C344C65AF2421B691A72C6E"/>
    <w:rsid w:val="00E45E40"/>
    <w:pPr>
      <w:spacing w:after="160" w:line="259" w:lineRule="auto"/>
    </w:pPr>
    <w:rPr>
      <w:sz w:val="22"/>
      <w:szCs w:val="22"/>
      <w:lang w:eastAsia="es-ES"/>
    </w:rPr>
  </w:style>
  <w:style w:type="paragraph" w:customStyle="1" w:styleId="81ADBB3E559A4B25A434C36718346508">
    <w:name w:val="81ADBB3E559A4B25A434C36718346508"/>
    <w:rsid w:val="00E45E40"/>
    <w:pPr>
      <w:spacing w:after="160" w:line="259" w:lineRule="auto"/>
    </w:pPr>
    <w:rPr>
      <w:sz w:val="22"/>
      <w:szCs w:val="22"/>
      <w:lang w:eastAsia="es-ES"/>
    </w:rPr>
  </w:style>
  <w:style w:type="paragraph" w:customStyle="1" w:styleId="7137D3773377480CADC254AB19E77659">
    <w:name w:val="7137D3773377480CADC254AB19E77659"/>
    <w:rsid w:val="00E45E40"/>
    <w:pPr>
      <w:spacing w:after="160" w:line="259" w:lineRule="auto"/>
    </w:pPr>
    <w:rPr>
      <w:sz w:val="22"/>
      <w:szCs w:val="22"/>
      <w:lang w:eastAsia="es-ES"/>
    </w:rPr>
  </w:style>
  <w:style w:type="paragraph" w:customStyle="1" w:styleId="F8E37541EDB34650970EC1261B5EAAAD">
    <w:name w:val="F8E37541EDB34650970EC1261B5EAAAD"/>
    <w:rsid w:val="00E45E40"/>
    <w:pPr>
      <w:spacing w:after="160" w:line="259" w:lineRule="auto"/>
    </w:pPr>
    <w:rPr>
      <w:sz w:val="22"/>
      <w:szCs w:val="22"/>
      <w:lang w:eastAsia="es-ES"/>
    </w:rPr>
  </w:style>
  <w:style w:type="paragraph" w:customStyle="1" w:styleId="41C2F431EC5F48B19DD4673000E73AE2">
    <w:name w:val="41C2F431EC5F48B19DD4673000E73AE2"/>
    <w:rsid w:val="00E45E40"/>
    <w:pPr>
      <w:spacing w:after="160" w:line="259" w:lineRule="auto"/>
    </w:pPr>
    <w:rPr>
      <w:sz w:val="22"/>
      <w:szCs w:val="22"/>
      <w:lang w:eastAsia="es-ES"/>
    </w:rPr>
  </w:style>
  <w:style w:type="paragraph" w:customStyle="1" w:styleId="804ED4E0B0D74EBD8D207F22169D48AA">
    <w:name w:val="804ED4E0B0D74EBD8D207F22169D48AA"/>
    <w:rsid w:val="00E45E40"/>
    <w:pPr>
      <w:spacing w:after="160" w:line="259" w:lineRule="auto"/>
    </w:pPr>
    <w:rPr>
      <w:sz w:val="22"/>
      <w:szCs w:val="22"/>
      <w:lang w:eastAsia="es-ES"/>
    </w:rPr>
  </w:style>
  <w:style w:type="paragraph" w:customStyle="1" w:styleId="4B2DAE4D59674BF7B6413CD3BE6AEF5A">
    <w:name w:val="4B2DAE4D59674BF7B6413CD3BE6AEF5A"/>
    <w:rsid w:val="00E45E40"/>
    <w:pPr>
      <w:spacing w:after="160" w:line="259" w:lineRule="auto"/>
    </w:pPr>
    <w:rPr>
      <w:sz w:val="22"/>
      <w:szCs w:val="22"/>
      <w:lang w:eastAsia="es-ES"/>
    </w:rPr>
  </w:style>
  <w:style w:type="paragraph" w:customStyle="1" w:styleId="F1135FEB088C41D192288C983F2108CA">
    <w:name w:val="F1135FEB088C41D192288C983F2108CA"/>
    <w:rsid w:val="00E45E40"/>
    <w:pPr>
      <w:spacing w:after="160" w:line="259" w:lineRule="auto"/>
    </w:pPr>
    <w:rPr>
      <w:sz w:val="22"/>
      <w:szCs w:val="22"/>
      <w:lang w:eastAsia="es-ES"/>
    </w:rPr>
  </w:style>
  <w:style w:type="paragraph" w:customStyle="1" w:styleId="DD12549D10454AD38340FE7AAAD604E2">
    <w:name w:val="DD12549D10454AD38340FE7AAAD604E2"/>
    <w:rsid w:val="00E45E40"/>
    <w:pPr>
      <w:spacing w:after="160" w:line="259" w:lineRule="auto"/>
    </w:pPr>
    <w:rPr>
      <w:sz w:val="22"/>
      <w:szCs w:val="22"/>
      <w:lang w:eastAsia="es-ES"/>
    </w:rPr>
  </w:style>
  <w:style w:type="paragraph" w:customStyle="1" w:styleId="96D36A6C260C4BFB99A393518F637078">
    <w:name w:val="96D36A6C260C4BFB99A393518F637078"/>
    <w:rsid w:val="00E45E40"/>
    <w:pPr>
      <w:spacing w:after="160" w:line="259" w:lineRule="auto"/>
    </w:pPr>
    <w:rPr>
      <w:sz w:val="22"/>
      <w:szCs w:val="22"/>
      <w:lang w:eastAsia="es-ES"/>
    </w:rPr>
  </w:style>
  <w:style w:type="paragraph" w:customStyle="1" w:styleId="50F0A663491B427295AF7ABC8CF885C9">
    <w:name w:val="50F0A663491B427295AF7ABC8CF885C9"/>
    <w:rsid w:val="00E45E40"/>
    <w:pPr>
      <w:spacing w:after="160" w:line="259" w:lineRule="auto"/>
    </w:pPr>
    <w:rPr>
      <w:sz w:val="22"/>
      <w:szCs w:val="22"/>
      <w:lang w:eastAsia="es-ES"/>
    </w:rPr>
  </w:style>
  <w:style w:type="paragraph" w:customStyle="1" w:styleId="24EB819CE4A24C058F0A66E8565DE673">
    <w:name w:val="24EB819CE4A24C058F0A66E8565DE673"/>
    <w:rsid w:val="00E45E40"/>
    <w:pPr>
      <w:spacing w:after="160" w:line="259" w:lineRule="auto"/>
    </w:pPr>
    <w:rPr>
      <w:sz w:val="22"/>
      <w:szCs w:val="22"/>
      <w:lang w:eastAsia="es-ES"/>
    </w:rPr>
  </w:style>
  <w:style w:type="paragraph" w:customStyle="1" w:styleId="61C17007CFD14CB08D9A985B1B52CAFA">
    <w:name w:val="61C17007CFD14CB08D9A985B1B52CAFA"/>
    <w:rsid w:val="00E45E40"/>
    <w:pPr>
      <w:spacing w:after="160" w:line="259" w:lineRule="auto"/>
    </w:pPr>
    <w:rPr>
      <w:sz w:val="22"/>
      <w:szCs w:val="22"/>
      <w:lang w:eastAsia="es-ES"/>
    </w:rPr>
  </w:style>
  <w:style w:type="paragraph" w:customStyle="1" w:styleId="8C4A962DCDB046BCBB532F6165F77415">
    <w:name w:val="8C4A962DCDB046BCBB532F6165F77415"/>
    <w:rsid w:val="00E45E40"/>
    <w:pPr>
      <w:spacing w:after="160" w:line="259" w:lineRule="auto"/>
    </w:pPr>
    <w:rPr>
      <w:sz w:val="22"/>
      <w:szCs w:val="22"/>
      <w:lang w:eastAsia="es-ES"/>
    </w:rPr>
  </w:style>
  <w:style w:type="paragraph" w:customStyle="1" w:styleId="84E28E8BDA9C4487A3F760352FA7990D">
    <w:name w:val="84E28E8BDA9C4487A3F760352FA7990D"/>
    <w:rsid w:val="00E45E40"/>
    <w:pPr>
      <w:spacing w:after="160" w:line="259" w:lineRule="auto"/>
    </w:pPr>
    <w:rPr>
      <w:sz w:val="22"/>
      <w:szCs w:val="22"/>
      <w:lang w:eastAsia="es-ES"/>
    </w:rPr>
  </w:style>
  <w:style w:type="paragraph" w:customStyle="1" w:styleId="61E83ECFCB624BB59D91D1FBE48D0F98">
    <w:name w:val="61E83ECFCB624BB59D91D1FBE48D0F98"/>
    <w:rsid w:val="00E45E40"/>
    <w:pPr>
      <w:spacing w:after="160" w:line="259" w:lineRule="auto"/>
    </w:pPr>
    <w:rPr>
      <w:sz w:val="22"/>
      <w:szCs w:val="22"/>
      <w:lang w:eastAsia="es-ES"/>
    </w:rPr>
  </w:style>
  <w:style w:type="paragraph" w:customStyle="1" w:styleId="2DA32E0B15A44D888661839149812289">
    <w:name w:val="2DA32E0B15A44D888661839149812289"/>
    <w:rsid w:val="00E45E40"/>
    <w:pPr>
      <w:spacing w:after="160" w:line="259" w:lineRule="auto"/>
    </w:pPr>
    <w:rPr>
      <w:sz w:val="22"/>
      <w:szCs w:val="22"/>
      <w:lang w:eastAsia="es-ES"/>
    </w:rPr>
  </w:style>
  <w:style w:type="paragraph" w:customStyle="1" w:styleId="B7166F2665234F078AAE05885651FC8D">
    <w:name w:val="B7166F2665234F078AAE05885651FC8D"/>
    <w:rsid w:val="00E45E40"/>
    <w:pPr>
      <w:spacing w:after="160" w:line="259" w:lineRule="auto"/>
    </w:pPr>
    <w:rPr>
      <w:sz w:val="22"/>
      <w:szCs w:val="22"/>
      <w:lang w:eastAsia="es-ES"/>
    </w:rPr>
  </w:style>
  <w:style w:type="paragraph" w:customStyle="1" w:styleId="1AD794AFE8874BA8B5ADB8762B8AA2AD">
    <w:name w:val="1AD794AFE8874BA8B5ADB8762B8AA2AD"/>
    <w:rsid w:val="00E45E40"/>
    <w:pPr>
      <w:spacing w:after="160" w:line="259" w:lineRule="auto"/>
    </w:pPr>
    <w:rPr>
      <w:sz w:val="22"/>
      <w:szCs w:val="22"/>
      <w:lang w:eastAsia="es-ES"/>
    </w:rPr>
  </w:style>
  <w:style w:type="paragraph" w:customStyle="1" w:styleId="1E8B019F3E7C4BA9B0A8B2839024FC86">
    <w:name w:val="1E8B019F3E7C4BA9B0A8B2839024FC86"/>
    <w:rsid w:val="00E45E40"/>
    <w:pPr>
      <w:spacing w:after="160" w:line="259" w:lineRule="auto"/>
    </w:pPr>
    <w:rPr>
      <w:sz w:val="22"/>
      <w:szCs w:val="22"/>
      <w:lang w:eastAsia="es-ES"/>
    </w:rPr>
  </w:style>
  <w:style w:type="paragraph" w:customStyle="1" w:styleId="76AFFBABE54D4B7897A7063FB6F6ECFD">
    <w:name w:val="76AFFBABE54D4B7897A7063FB6F6ECFD"/>
    <w:rsid w:val="00E45E40"/>
    <w:pPr>
      <w:spacing w:after="160" w:line="259" w:lineRule="auto"/>
    </w:pPr>
    <w:rPr>
      <w:sz w:val="22"/>
      <w:szCs w:val="22"/>
      <w:lang w:eastAsia="es-ES"/>
    </w:rPr>
  </w:style>
  <w:style w:type="paragraph" w:customStyle="1" w:styleId="1C377308C60347E9B619CEA1A7A09A5F">
    <w:name w:val="1C377308C60347E9B619CEA1A7A09A5F"/>
    <w:rsid w:val="00E45E40"/>
    <w:pPr>
      <w:spacing w:after="160" w:line="259" w:lineRule="auto"/>
    </w:pPr>
    <w:rPr>
      <w:sz w:val="22"/>
      <w:szCs w:val="22"/>
      <w:lang w:eastAsia="es-ES"/>
    </w:rPr>
  </w:style>
  <w:style w:type="paragraph" w:customStyle="1" w:styleId="7B0C6FA7A605413EB7D7B5E313607EFE">
    <w:name w:val="7B0C6FA7A605413EB7D7B5E313607EFE"/>
    <w:rsid w:val="00E45E40"/>
    <w:pPr>
      <w:spacing w:after="160" w:line="259" w:lineRule="auto"/>
    </w:pPr>
    <w:rPr>
      <w:sz w:val="22"/>
      <w:szCs w:val="22"/>
      <w:lang w:eastAsia="es-ES"/>
    </w:rPr>
  </w:style>
  <w:style w:type="paragraph" w:customStyle="1" w:styleId="C28EBC52DD29457BA0C416C19A0B1360">
    <w:name w:val="C28EBC52DD29457BA0C416C19A0B1360"/>
    <w:rsid w:val="00E45E40"/>
    <w:pPr>
      <w:spacing w:after="160" w:line="259" w:lineRule="auto"/>
    </w:pPr>
    <w:rPr>
      <w:sz w:val="22"/>
      <w:szCs w:val="22"/>
      <w:lang w:eastAsia="es-ES"/>
    </w:rPr>
  </w:style>
  <w:style w:type="paragraph" w:customStyle="1" w:styleId="C8AFD7D9E7004EC381892DA88E6BF3A0">
    <w:name w:val="C8AFD7D9E7004EC381892DA88E6BF3A0"/>
    <w:rsid w:val="00E45E40"/>
    <w:pPr>
      <w:spacing w:after="160" w:line="259" w:lineRule="auto"/>
    </w:pPr>
    <w:rPr>
      <w:sz w:val="22"/>
      <w:szCs w:val="22"/>
      <w:lang w:eastAsia="es-ES"/>
    </w:rPr>
  </w:style>
  <w:style w:type="paragraph" w:customStyle="1" w:styleId="1358865CD83C4CA3B4BA6BAD91C3F3C3">
    <w:name w:val="1358865CD83C4CA3B4BA6BAD91C3F3C3"/>
    <w:rsid w:val="00E45E40"/>
    <w:pPr>
      <w:spacing w:after="160" w:line="259" w:lineRule="auto"/>
    </w:pPr>
    <w:rPr>
      <w:sz w:val="22"/>
      <w:szCs w:val="22"/>
      <w:lang w:eastAsia="es-ES"/>
    </w:rPr>
  </w:style>
  <w:style w:type="paragraph" w:customStyle="1" w:styleId="E8D9EE804E334897B3C983077BA34477">
    <w:name w:val="E8D9EE804E334897B3C983077BA34477"/>
    <w:rsid w:val="00E45E40"/>
    <w:pPr>
      <w:spacing w:after="160" w:line="259" w:lineRule="auto"/>
    </w:pPr>
    <w:rPr>
      <w:sz w:val="22"/>
      <w:szCs w:val="22"/>
      <w:lang w:eastAsia="es-ES"/>
    </w:rPr>
  </w:style>
  <w:style w:type="paragraph" w:customStyle="1" w:styleId="CDD64B7BF2314B808C9511297CF8D5E7">
    <w:name w:val="CDD64B7BF2314B808C9511297CF8D5E7"/>
    <w:rsid w:val="00E45E40"/>
    <w:pPr>
      <w:spacing w:after="160" w:line="259" w:lineRule="auto"/>
    </w:pPr>
    <w:rPr>
      <w:sz w:val="22"/>
      <w:szCs w:val="22"/>
      <w:lang w:eastAsia="es-ES"/>
    </w:rPr>
  </w:style>
  <w:style w:type="paragraph" w:customStyle="1" w:styleId="515C0833367E425DAD4366698FD6157B">
    <w:name w:val="515C0833367E425DAD4366698FD6157B"/>
    <w:rsid w:val="00E45E40"/>
    <w:pPr>
      <w:spacing w:after="160" w:line="259" w:lineRule="auto"/>
    </w:pPr>
    <w:rPr>
      <w:sz w:val="22"/>
      <w:szCs w:val="22"/>
      <w:lang w:eastAsia="es-ES"/>
    </w:rPr>
  </w:style>
  <w:style w:type="paragraph" w:customStyle="1" w:styleId="0322173C0AE949CFBD2801A383E37049">
    <w:name w:val="0322173C0AE949CFBD2801A383E37049"/>
    <w:rsid w:val="00E45E40"/>
    <w:pPr>
      <w:spacing w:after="160" w:line="259" w:lineRule="auto"/>
    </w:pPr>
    <w:rPr>
      <w:sz w:val="22"/>
      <w:szCs w:val="22"/>
      <w:lang w:eastAsia="es-ES"/>
    </w:rPr>
  </w:style>
  <w:style w:type="paragraph" w:customStyle="1" w:styleId="D580414141904A4990F81DD8B9D573F6">
    <w:name w:val="D580414141904A4990F81DD8B9D573F6"/>
    <w:rsid w:val="00E45E40"/>
    <w:pPr>
      <w:spacing w:after="160" w:line="259" w:lineRule="auto"/>
    </w:pPr>
    <w:rPr>
      <w:sz w:val="22"/>
      <w:szCs w:val="22"/>
      <w:lang w:eastAsia="es-ES"/>
    </w:rPr>
  </w:style>
  <w:style w:type="paragraph" w:customStyle="1" w:styleId="0F0D8EC9065D447CA433A482D396966A">
    <w:name w:val="0F0D8EC9065D447CA433A482D396966A"/>
    <w:rsid w:val="00E45E40"/>
    <w:pPr>
      <w:spacing w:after="160" w:line="259" w:lineRule="auto"/>
    </w:pPr>
    <w:rPr>
      <w:sz w:val="22"/>
      <w:szCs w:val="22"/>
      <w:lang w:eastAsia="es-ES"/>
    </w:rPr>
  </w:style>
  <w:style w:type="paragraph" w:customStyle="1" w:styleId="CAD3D03BF09B40F3908ED4944A510BA2">
    <w:name w:val="CAD3D03BF09B40F3908ED4944A510BA2"/>
    <w:rsid w:val="00E45E40"/>
    <w:pPr>
      <w:spacing w:after="160" w:line="259" w:lineRule="auto"/>
    </w:pPr>
    <w:rPr>
      <w:sz w:val="22"/>
      <w:szCs w:val="22"/>
      <w:lang w:eastAsia="es-ES"/>
    </w:rPr>
  </w:style>
  <w:style w:type="paragraph" w:customStyle="1" w:styleId="24C0361B7CDA4C5786C5CD2616A9F4E6">
    <w:name w:val="24C0361B7CDA4C5786C5CD2616A9F4E6"/>
    <w:rsid w:val="00E45E40"/>
    <w:pPr>
      <w:spacing w:after="160" w:line="259" w:lineRule="auto"/>
    </w:pPr>
    <w:rPr>
      <w:sz w:val="22"/>
      <w:szCs w:val="22"/>
      <w:lang w:eastAsia="es-ES"/>
    </w:rPr>
  </w:style>
  <w:style w:type="paragraph" w:customStyle="1" w:styleId="105250D7D2BD42ABA8545FCC90B0B70C">
    <w:name w:val="105250D7D2BD42ABA8545FCC90B0B70C"/>
    <w:rsid w:val="00E45E40"/>
    <w:pPr>
      <w:spacing w:after="160" w:line="259" w:lineRule="auto"/>
    </w:pPr>
    <w:rPr>
      <w:sz w:val="22"/>
      <w:szCs w:val="22"/>
      <w:lang w:eastAsia="es-ES"/>
    </w:rPr>
  </w:style>
  <w:style w:type="paragraph" w:customStyle="1" w:styleId="4EFC00CD68E7418F881ACBBDC9578CB1">
    <w:name w:val="4EFC00CD68E7418F881ACBBDC9578CB1"/>
    <w:rsid w:val="00E45E40"/>
    <w:pPr>
      <w:spacing w:after="160" w:line="259" w:lineRule="auto"/>
    </w:pPr>
    <w:rPr>
      <w:sz w:val="22"/>
      <w:szCs w:val="22"/>
      <w:lang w:eastAsia="es-ES"/>
    </w:rPr>
  </w:style>
  <w:style w:type="paragraph" w:customStyle="1" w:styleId="DBA41F23B5994E32835ABAE709244BC1">
    <w:name w:val="DBA41F23B5994E32835ABAE709244BC1"/>
    <w:rsid w:val="00E45E40"/>
    <w:pPr>
      <w:spacing w:after="160" w:line="259" w:lineRule="auto"/>
    </w:pPr>
    <w:rPr>
      <w:sz w:val="22"/>
      <w:szCs w:val="22"/>
      <w:lang w:eastAsia="es-ES"/>
    </w:rPr>
  </w:style>
  <w:style w:type="paragraph" w:customStyle="1" w:styleId="4F8F1C7900EA4AB78A774459FBB3158B">
    <w:name w:val="4F8F1C7900EA4AB78A774459FBB3158B"/>
    <w:rsid w:val="00E45E40"/>
    <w:pPr>
      <w:spacing w:after="160" w:line="259" w:lineRule="auto"/>
    </w:pPr>
    <w:rPr>
      <w:sz w:val="22"/>
      <w:szCs w:val="22"/>
      <w:lang w:eastAsia="es-ES"/>
    </w:rPr>
  </w:style>
  <w:style w:type="paragraph" w:customStyle="1" w:styleId="13D1AF2773A54C518B22CE65D873233E">
    <w:name w:val="13D1AF2773A54C518B22CE65D873233E"/>
    <w:rsid w:val="00E45E40"/>
    <w:pPr>
      <w:spacing w:after="160" w:line="259" w:lineRule="auto"/>
    </w:pPr>
    <w:rPr>
      <w:sz w:val="22"/>
      <w:szCs w:val="22"/>
      <w:lang w:eastAsia="es-ES"/>
    </w:rPr>
  </w:style>
  <w:style w:type="paragraph" w:customStyle="1" w:styleId="20075BB140B04C0BAFE4AFBD347672FD">
    <w:name w:val="20075BB140B04C0BAFE4AFBD347672FD"/>
    <w:rsid w:val="00E45E40"/>
    <w:pPr>
      <w:spacing w:after="160" w:line="259" w:lineRule="auto"/>
    </w:pPr>
    <w:rPr>
      <w:sz w:val="22"/>
      <w:szCs w:val="22"/>
      <w:lang w:eastAsia="es-ES"/>
    </w:rPr>
  </w:style>
  <w:style w:type="paragraph" w:customStyle="1" w:styleId="D430D70EB3DD42E5AB8427D71695D1B3">
    <w:name w:val="D430D70EB3DD42E5AB8427D71695D1B3"/>
    <w:rsid w:val="00E45E40"/>
    <w:pPr>
      <w:spacing w:after="160" w:line="259" w:lineRule="auto"/>
    </w:pPr>
    <w:rPr>
      <w:sz w:val="22"/>
      <w:szCs w:val="22"/>
      <w:lang w:eastAsia="es-ES"/>
    </w:rPr>
  </w:style>
  <w:style w:type="paragraph" w:customStyle="1" w:styleId="D66DA31EC37D4117BA7860765D23A0B8">
    <w:name w:val="D66DA31EC37D4117BA7860765D23A0B8"/>
    <w:rsid w:val="00E45E40"/>
    <w:pPr>
      <w:spacing w:after="160" w:line="259" w:lineRule="auto"/>
    </w:pPr>
    <w:rPr>
      <w:sz w:val="22"/>
      <w:szCs w:val="22"/>
      <w:lang w:eastAsia="es-ES"/>
    </w:rPr>
  </w:style>
  <w:style w:type="paragraph" w:customStyle="1" w:styleId="C0DD8EB9D104487D9F4CF4850B964F8D">
    <w:name w:val="C0DD8EB9D104487D9F4CF4850B964F8D"/>
    <w:rsid w:val="00E45E40"/>
    <w:pPr>
      <w:spacing w:after="160" w:line="259" w:lineRule="auto"/>
    </w:pPr>
    <w:rPr>
      <w:sz w:val="22"/>
      <w:szCs w:val="22"/>
      <w:lang w:eastAsia="es-ES"/>
    </w:rPr>
  </w:style>
  <w:style w:type="paragraph" w:customStyle="1" w:styleId="F623A389B8DF415FA584ADC0D3B7CB66">
    <w:name w:val="F623A389B8DF415FA584ADC0D3B7CB66"/>
    <w:rsid w:val="00E45E40"/>
    <w:pPr>
      <w:spacing w:after="160" w:line="259" w:lineRule="auto"/>
    </w:pPr>
    <w:rPr>
      <w:sz w:val="22"/>
      <w:szCs w:val="22"/>
      <w:lang w:eastAsia="es-ES"/>
    </w:rPr>
  </w:style>
  <w:style w:type="paragraph" w:customStyle="1" w:styleId="82E3724FEAA04B68BB1A33D6E27176BD">
    <w:name w:val="82E3724FEAA04B68BB1A33D6E27176BD"/>
    <w:rsid w:val="00E45E40"/>
    <w:pPr>
      <w:spacing w:after="160" w:line="259" w:lineRule="auto"/>
    </w:pPr>
    <w:rPr>
      <w:sz w:val="22"/>
      <w:szCs w:val="22"/>
      <w:lang w:eastAsia="es-ES"/>
    </w:rPr>
  </w:style>
  <w:style w:type="paragraph" w:customStyle="1" w:styleId="935378189CD244C0BF4DEE0C852E287C">
    <w:name w:val="935378189CD244C0BF4DEE0C852E287C"/>
    <w:rsid w:val="00E45E40"/>
    <w:pPr>
      <w:spacing w:after="160" w:line="259" w:lineRule="auto"/>
    </w:pPr>
    <w:rPr>
      <w:sz w:val="22"/>
      <w:szCs w:val="22"/>
      <w:lang w:eastAsia="es-ES"/>
    </w:rPr>
  </w:style>
  <w:style w:type="paragraph" w:customStyle="1" w:styleId="2E15F83F03FA4F6695D7263AA0E56CBE">
    <w:name w:val="2E15F83F03FA4F6695D7263AA0E56CBE"/>
    <w:rsid w:val="00E45E40"/>
    <w:pPr>
      <w:spacing w:after="160" w:line="259" w:lineRule="auto"/>
    </w:pPr>
    <w:rPr>
      <w:sz w:val="22"/>
      <w:szCs w:val="22"/>
      <w:lang w:eastAsia="es-ES"/>
    </w:rPr>
  </w:style>
  <w:style w:type="paragraph" w:customStyle="1" w:styleId="95B8690E6FCE456FA5DDAAA276D61FA5">
    <w:name w:val="95B8690E6FCE456FA5DDAAA276D61FA5"/>
    <w:rsid w:val="00E45E40"/>
    <w:pPr>
      <w:spacing w:after="160" w:line="259" w:lineRule="auto"/>
    </w:pPr>
    <w:rPr>
      <w:sz w:val="22"/>
      <w:szCs w:val="22"/>
      <w:lang w:eastAsia="es-ES"/>
    </w:rPr>
  </w:style>
  <w:style w:type="paragraph" w:customStyle="1" w:styleId="C2AB89F92829499F80A6C7FEB328248B">
    <w:name w:val="C2AB89F92829499F80A6C7FEB328248B"/>
    <w:rsid w:val="00E45E40"/>
    <w:pPr>
      <w:spacing w:after="160" w:line="259" w:lineRule="auto"/>
    </w:pPr>
    <w:rPr>
      <w:sz w:val="22"/>
      <w:szCs w:val="22"/>
      <w:lang w:eastAsia="es-ES"/>
    </w:rPr>
  </w:style>
  <w:style w:type="paragraph" w:customStyle="1" w:styleId="D7A2CEA942884BADB5FAA58828EF32E4">
    <w:name w:val="D7A2CEA942884BADB5FAA58828EF32E4"/>
    <w:rsid w:val="00E45E40"/>
    <w:pPr>
      <w:spacing w:after="160" w:line="259" w:lineRule="auto"/>
    </w:pPr>
    <w:rPr>
      <w:sz w:val="22"/>
      <w:szCs w:val="22"/>
      <w:lang w:eastAsia="es-ES"/>
    </w:rPr>
  </w:style>
  <w:style w:type="paragraph" w:customStyle="1" w:styleId="023CCB53CC8B42FD92FFA3B6EA49CC3A">
    <w:name w:val="023CCB53CC8B42FD92FFA3B6EA49CC3A"/>
    <w:rsid w:val="00E45E40"/>
    <w:pPr>
      <w:spacing w:after="160" w:line="259" w:lineRule="auto"/>
    </w:pPr>
    <w:rPr>
      <w:sz w:val="22"/>
      <w:szCs w:val="22"/>
      <w:lang w:eastAsia="es-ES"/>
    </w:rPr>
  </w:style>
  <w:style w:type="paragraph" w:customStyle="1" w:styleId="1C88C1E9A0BB4712A6034E28E178F30A">
    <w:name w:val="1C88C1E9A0BB4712A6034E28E178F30A"/>
    <w:rsid w:val="00E45E40"/>
    <w:pPr>
      <w:spacing w:after="160" w:line="259" w:lineRule="auto"/>
    </w:pPr>
    <w:rPr>
      <w:sz w:val="22"/>
      <w:szCs w:val="22"/>
      <w:lang w:eastAsia="es-ES"/>
    </w:rPr>
  </w:style>
  <w:style w:type="paragraph" w:customStyle="1" w:styleId="78FCBD1B95B949ADA905AB19373C9B6F">
    <w:name w:val="78FCBD1B95B949ADA905AB19373C9B6F"/>
    <w:rsid w:val="00E45E40"/>
    <w:pPr>
      <w:spacing w:after="160" w:line="259" w:lineRule="auto"/>
    </w:pPr>
    <w:rPr>
      <w:sz w:val="22"/>
      <w:szCs w:val="22"/>
      <w:lang w:eastAsia="es-ES"/>
    </w:rPr>
  </w:style>
  <w:style w:type="paragraph" w:customStyle="1" w:styleId="654D12A3195144029F6A3C94E49C5196">
    <w:name w:val="654D12A3195144029F6A3C94E49C5196"/>
    <w:rsid w:val="00E45E40"/>
    <w:pPr>
      <w:spacing w:after="160" w:line="259" w:lineRule="auto"/>
    </w:pPr>
    <w:rPr>
      <w:sz w:val="22"/>
      <w:szCs w:val="22"/>
      <w:lang w:eastAsia="es-ES"/>
    </w:rPr>
  </w:style>
  <w:style w:type="paragraph" w:customStyle="1" w:styleId="76B0184DD5BB4A6A9AB13F020A16CA38">
    <w:name w:val="76B0184DD5BB4A6A9AB13F020A16CA38"/>
    <w:rsid w:val="00E45E40"/>
    <w:pPr>
      <w:spacing w:after="160" w:line="259" w:lineRule="auto"/>
    </w:pPr>
    <w:rPr>
      <w:sz w:val="22"/>
      <w:szCs w:val="22"/>
      <w:lang w:eastAsia="es-ES"/>
    </w:rPr>
  </w:style>
  <w:style w:type="paragraph" w:customStyle="1" w:styleId="F3E9AEB1ED404818A61627C280AC9B43">
    <w:name w:val="F3E9AEB1ED404818A61627C280AC9B43"/>
    <w:rsid w:val="00E45E40"/>
    <w:pPr>
      <w:spacing w:after="160" w:line="259" w:lineRule="auto"/>
    </w:pPr>
    <w:rPr>
      <w:sz w:val="22"/>
      <w:szCs w:val="22"/>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6885</Words>
  <Characters>37870</Characters>
  <Application>Microsoft Office Word</Application>
  <DocSecurity>0</DocSecurity>
  <Lines>315</Lines>
  <Paragraphs>89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80</cp:revision>
  <dcterms:created xsi:type="dcterms:W3CDTF">2016-11-18T12:40:00Z</dcterms:created>
  <dcterms:modified xsi:type="dcterms:W3CDTF">2022-11-23T19:37:00Z</dcterms:modified>
</cp:coreProperties>
</file>