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774197C6" w:rsidR="00CB043D" w:rsidRPr="008C2BF5" w:rsidRDefault="008C2BF5" w:rsidP="006127B4">
      <w:pPr>
        <w:pStyle w:val="Ttulo"/>
        <w:rPr>
          <w:rFonts w:ascii="Arial" w:hAnsi="Arial"/>
          <w:lang w:val="es-ES"/>
        </w:rPr>
      </w:pPr>
      <w:r w:rsidRPr="008C2BF5">
        <w:rPr>
          <w:rFonts w:ascii="Arial" w:hAnsi="Arial"/>
        </w:rPr>
        <w:t>JURISPRUDENCIA AMBIENTAL DE LA UNIÓN EUROPEA</w:t>
      </w:r>
    </w:p>
    <w:p w14:paraId="0405F4EA" w14:textId="77777777" w:rsidR="00CB043D" w:rsidRPr="00740B4F" w:rsidRDefault="00CB043D" w:rsidP="00CB043D">
      <w:pPr>
        <w:spacing w:after="0"/>
        <w:jc w:val="center"/>
        <w:rPr>
          <w:rFonts w:ascii="Arial" w:hAnsi="Arial"/>
          <w:i/>
          <w:lang w:val="es-ES_tradnl"/>
        </w:rPr>
      </w:pPr>
    </w:p>
    <w:p w14:paraId="35B809D7" w14:textId="412CCC72" w:rsidR="00CB043D" w:rsidRPr="00740B4F" w:rsidRDefault="002668C7" w:rsidP="000128E0">
      <w:pPr>
        <w:pStyle w:val="Subttulo"/>
        <w:rPr>
          <w:rFonts w:ascii="Arial" w:hAnsi="Arial"/>
          <w:smallCaps/>
        </w:rPr>
      </w:pPr>
      <w:r w:rsidRPr="002668C7">
        <w:rPr>
          <w:rFonts w:ascii="Arial" w:hAnsi="Arial"/>
          <w:smallCaps/>
        </w:rPr>
        <w:t>ROSA GILES CARNERO</w:t>
      </w:r>
    </w:p>
    <w:p w14:paraId="572BC91D" w14:textId="053CFDF9" w:rsidR="00DF642B" w:rsidRPr="00DF642B" w:rsidRDefault="00DF642B" w:rsidP="00DF642B">
      <w:pPr>
        <w:jc w:val="center"/>
        <w:rPr>
          <w:rFonts w:ascii="Arial" w:hAnsi="Arial"/>
          <w:i/>
          <w:lang w:val="es-ES"/>
        </w:rPr>
      </w:pPr>
      <w:r w:rsidRPr="00DF642B">
        <w:rPr>
          <w:rFonts w:ascii="Arial" w:hAnsi="Arial"/>
          <w:i/>
          <w:lang w:val="es-ES"/>
        </w:rPr>
        <w:t>Profesora Titular de Derecho Internacional Público</w:t>
      </w:r>
    </w:p>
    <w:p w14:paraId="7EEFDC53" w14:textId="7EFE87C9" w:rsidR="00BF31E0" w:rsidRDefault="00DF642B" w:rsidP="00DF642B">
      <w:pPr>
        <w:jc w:val="center"/>
        <w:rPr>
          <w:rFonts w:ascii="Arial" w:hAnsi="Arial"/>
          <w:i/>
          <w:lang w:val="es-ES"/>
        </w:rPr>
      </w:pPr>
      <w:r w:rsidRPr="00DF642B">
        <w:rPr>
          <w:rFonts w:ascii="Arial" w:hAnsi="Arial"/>
          <w:i/>
          <w:lang w:val="es-ES"/>
        </w:rPr>
        <w:t>Universidad de Huelva</w:t>
      </w:r>
    </w:p>
    <w:p w14:paraId="05AC1492" w14:textId="77777777" w:rsidR="00DF642B" w:rsidRPr="00740B4F" w:rsidRDefault="00DF642B" w:rsidP="00DF642B">
      <w:pPr>
        <w:jc w:val="center"/>
        <w:rPr>
          <w:rFonts w:ascii="Arial" w:hAnsi="Arial"/>
          <w:lang w:val="es-ES" w:eastAsia="es-ES"/>
        </w:rPr>
      </w:pPr>
    </w:p>
    <w:p w14:paraId="7B99F8B1" w14:textId="312AC135" w:rsidR="00F342E5" w:rsidRPr="008C2BF5" w:rsidRDefault="00F342E5" w:rsidP="006127B4">
      <w:pPr>
        <w:pStyle w:val="Sumario"/>
        <w:rPr>
          <w:rFonts w:ascii="Arial" w:hAnsi="Arial"/>
          <w:lang w:val="es-ES"/>
        </w:rPr>
      </w:pPr>
      <w:r w:rsidRPr="00740B4F">
        <w:rPr>
          <w:rFonts w:ascii="Arial" w:hAnsi="Arial"/>
          <w:b/>
        </w:rPr>
        <w:t xml:space="preserve">Sumario: </w:t>
      </w:r>
      <w:r w:rsidRPr="00740B4F">
        <w:rPr>
          <w:rFonts w:ascii="Arial" w:hAnsi="Arial"/>
        </w:rPr>
        <w:t xml:space="preserve">1. </w:t>
      </w:r>
      <w:r w:rsidR="00BC1BB3" w:rsidRPr="00BC1BB3">
        <w:rPr>
          <w:rFonts w:ascii="Arial" w:hAnsi="Arial"/>
        </w:rPr>
        <w:t>Consideraciones introductorias. 2. Recursos por incumplimiento. 3. Recursos de anulación. 4. Cuestiones prejudiciales. 4.1. Aguas. 4.2. Prevención y control integrados de la contaminación. 4.3. Organismos modificados genéticamente. 4.4. Protección de especies de fauna y flora mediante el comercio.</w:t>
      </w:r>
      <w:r w:rsidR="00BC1BB3" w:rsidRPr="00BC1BB3">
        <w:rPr>
          <w:rFonts w:ascii="Arial" w:hAnsi="Arial"/>
        </w:rPr>
        <w:t xml:space="preserve"> </w:t>
      </w:r>
    </w:p>
    <w:p w14:paraId="2049D5F0" w14:textId="77777777" w:rsidR="000620B9" w:rsidRPr="008C2BF5" w:rsidRDefault="000620B9" w:rsidP="000620B9">
      <w:pPr>
        <w:rPr>
          <w:rFonts w:ascii="Arial" w:hAnsi="Arial"/>
          <w:lang w:val="es-ES"/>
        </w:rPr>
      </w:pPr>
    </w:p>
    <w:p w14:paraId="48D600B0" w14:textId="5F61124E" w:rsidR="00CB043D" w:rsidRPr="00AD62B2" w:rsidRDefault="00CB043D" w:rsidP="006127B4">
      <w:pPr>
        <w:pStyle w:val="Ttulo1"/>
        <w:rPr>
          <w:rFonts w:ascii="Arial" w:hAnsi="Arial"/>
          <w:lang w:val="es-ES"/>
        </w:rPr>
      </w:pPr>
      <w:r w:rsidRPr="00AD62B2">
        <w:rPr>
          <w:rFonts w:ascii="Arial" w:hAnsi="Arial"/>
          <w:lang w:val="es-ES"/>
        </w:rPr>
        <w:t xml:space="preserve">1. </w:t>
      </w:r>
      <w:r w:rsidR="003746FD" w:rsidRPr="00AD62B2">
        <w:rPr>
          <w:rFonts w:ascii="Arial" w:hAnsi="Arial"/>
          <w:lang w:val="es-ES"/>
        </w:rPr>
        <w:t>CONSIDERACIONES INTRODUCTORIAS</w:t>
      </w:r>
    </w:p>
    <w:p w14:paraId="19DA7132" w14:textId="5ABDF53C" w:rsidR="00AD62B2" w:rsidRPr="004F56D0" w:rsidRDefault="00AD62B2" w:rsidP="00AD62B2">
      <w:pPr>
        <w:rPr>
          <w:rFonts w:ascii="Arial" w:hAnsi="Arial" w:cs="Arial"/>
          <w:szCs w:val="24"/>
          <w:lang w:val="es-ES"/>
        </w:rPr>
      </w:pPr>
      <w:r w:rsidRPr="004F56D0">
        <w:rPr>
          <w:rFonts w:ascii="Arial" w:hAnsi="Arial" w:cs="Arial"/>
          <w:szCs w:val="24"/>
          <w:lang w:val="es-ES"/>
        </w:rPr>
        <w:t xml:space="preserve">En el período comprendido entre el 1 de abril y el 30 de septiembre de 2022, el Tribunal de Justicia de la Unión Europea cabe destacar diez sentencias en asuntos relacionados con el derecho ambiental que resultan de interés para esta Crónica. El Tribunal se pronunció </w:t>
      </w:r>
      <w:proofErr w:type="gramStart"/>
      <w:r w:rsidRPr="004F56D0">
        <w:rPr>
          <w:rFonts w:ascii="Arial" w:hAnsi="Arial" w:cs="Arial"/>
          <w:szCs w:val="24"/>
          <w:lang w:val="es-ES"/>
        </w:rPr>
        <w:t>en relación a</w:t>
      </w:r>
      <w:proofErr w:type="gramEnd"/>
      <w:r w:rsidRPr="004F56D0">
        <w:rPr>
          <w:rFonts w:ascii="Arial" w:hAnsi="Arial" w:cs="Arial"/>
          <w:szCs w:val="24"/>
          <w:lang w:val="es-ES"/>
        </w:rPr>
        <w:t xml:space="preserve"> cuatro procedimientos por incumplimiento incoados por la Comisión Europea en el marco del artículo 258 TFUE. En las sentencias emitidas se abordó en dos casos la responsabilidad de Bulgaria, y uno las de Eslovaquia y Francia, por incumplimiento de diferentes normas sobre protección ambiental. En todos los casos, el resultando de las sentencias fue la declaración de incumplimiento.</w:t>
      </w:r>
    </w:p>
    <w:p w14:paraId="6C3556D7" w14:textId="77777777" w:rsidR="00AD62B2" w:rsidRPr="004F56D0" w:rsidRDefault="00AD62B2" w:rsidP="00AD62B2">
      <w:pPr>
        <w:rPr>
          <w:rFonts w:ascii="Arial" w:hAnsi="Arial" w:cs="Arial"/>
          <w:szCs w:val="24"/>
          <w:lang w:val="es-ES"/>
        </w:rPr>
      </w:pPr>
      <w:r w:rsidRPr="004F56D0">
        <w:rPr>
          <w:rFonts w:ascii="Arial" w:hAnsi="Arial" w:cs="Arial"/>
          <w:szCs w:val="24"/>
          <w:lang w:val="es-ES"/>
        </w:rPr>
        <w:t>Asimismo, en el período examinado en esta crónica, se dictaron dos sentencias en respuesta a recursos de anulación interpuestos conforme al artículo 263 TFUE, contra actos de las instituciones y órganos de la Unión Europea adoptados en aplicación de normativa con incidencia ambiental. El Tribunal General resolvió y desestimó ambos recursos.</w:t>
      </w:r>
    </w:p>
    <w:p w14:paraId="2DA140D6" w14:textId="4475DAE2" w:rsidR="00CB043D" w:rsidRDefault="00AD62B2" w:rsidP="00AD62B2">
      <w:pPr>
        <w:rPr>
          <w:rFonts w:ascii="Arial" w:hAnsi="Arial"/>
          <w:lang w:val="fr-FR"/>
        </w:rPr>
      </w:pPr>
      <w:r w:rsidRPr="004F56D0">
        <w:rPr>
          <w:rFonts w:ascii="Arial" w:hAnsi="Arial" w:cs="Arial"/>
          <w:szCs w:val="24"/>
          <w:lang w:val="es-ES"/>
        </w:rPr>
        <w:t xml:space="preserve">Hay que añadir, por último, que en el mismo período se dictaron cuatro sentencias en respuesta a peticiones de decisión prejudicial remitidas al Tribunal de Justicia por órganos jurisdiccionales nacionales, en relación con la interpretación de distintas disposiciones de contenido ambiental del derecho de la Unión Europea. Las cuestiones abordadas en estos pronunciamientos son </w:t>
      </w:r>
      <w:r w:rsidRPr="004F56D0">
        <w:rPr>
          <w:rFonts w:ascii="Arial" w:hAnsi="Arial" w:cs="Arial"/>
          <w:szCs w:val="24"/>
          <w:lang w:val="es-ES"/>
        </w:rPr>
        <w:lastRenderedPageBreak/>
        <w:t>diversas, de forma que se han incluido en este apartado cuatro epígrafes referidos a las diferentes materias abordadas en las sentencias. En el primer epígrafe aparece una sentencia relativas a la normativa europea sobre aguas; el segundo incluye una sentencia relativa a la normativa sobre</w:t>
      </w:r>
      <w:r w:rsidRPr="004F56D0">
        <w:rPr>
          <w:rFonts w:ascii="Arial" w:hAnsi="Arial" w:cs="Arial"/>
          <w:b/>
          <w:szCs w:val="24"/>
          <w:lang w:val="es-ES"/>
        </w:rPr>
        <w:t xml:space="preserve"> </w:t>
      </w:r>
      <w:r w:rsidRPr="004F56D0">
        <w:rPr>
          <w:rFonts w:ascii="Arial" w:hAnsi="Arial" w:cs="Arial"/>
          <w:szCs w:val="24"/>
          <w:lang w:val="es-ES"/>
        </w:rPr>
        <w:t xml:space="preserve">prevención y control integrados de la contaminación; el tercer epígrafe introduce una sentencia sobre </w:t>
      </w:r>
      <w:r w:rsidRPr="004F56D0">
        <w:rPr>
          <w:rFonts w:ascii="Arial" w:hAnsi="Arial" w:cs="Arial"/>
          <w:bCs/>
          <w:szCs w:val="24"/>
          <w:shd w:val="clear" w:color="auto" w:fill="FFFFFF"/>
          <w:lang w:val="es-ES"/>
        </w:rPr>
        <w:t>organismos modificados genéticamente</w:t>
      </w:r>
      <w:r w:rsidRPr="004F56D0">
        <w:rPr>
          <w:rFonts w:ascii="Arial" w:hAnsi="Arial" w:cs="Arial"/>
          <w:szCs w:val="24"/>
          <w:lang w:val="es-ES"/>
        </w:rPr>
        <w:t xml:space="preserve">; y, por último, se incluye un apartado con una sentencia sobre </w:t>
      </w:r>
      <w:r w:rsidRPr="004F56D0">
        <w:rPr>
          <w:rFonts w:ascii="Arial" w:hAnsi="Arial" w:cs="Arial"/>
          <w:bCs/>
          <w:szCs w:val="24"/>
          <w:shd w:val="clear" w:color="auto" w:fill="FFFFFF"/>
          <w:lang w:val="es-ES"/>
        </w:rPr>
        <w:t>protección de especies de fauna y flora mediante el comercio</w:t>
      </w:r>
      <w:r w:rsidR="006127B4" w:rsidRPr="00740B4F">
        <w:rPr>
          <w:rFonts w:ascii="Arial" w:hAnsi="Arial"/>
          <w:lang w:val="fr-FR"/>
        </w:rPr>
        <w:t>.</w:t>
      </w:r>
    </w:p>
    <w:p w14:paraId="785AF301" w14:textId="7DC1413E" w:rsidR="00AD62B2" w:rsidRDefault="00AD62B2" w:rsidP="00AD62B2">
      <w:pPr>
        <w:rPr>
          <w:rFonts w:ascii="Arial" w:hAnsi="Arial"/>
          <w:b/>
          <w:bCs/>
          <w:lang w:val="fr-FR"/>
        </w:rPr>
      </w:pPr>
      <w:r>
        <w:rPr>
          <w:rFonts w:ascii="Arial" w:hAnsi="Arial"/>
          <w:b/>
          <w:bCs/>
          <w:lang w:val="fr-FR"/>
        </w:rPr>
        <w:t xml:space="preserve">2. </w:t>
      </w:r>
      <w:r w:rsidR="004F7290">
        <w:rPr>
          <w:rFonts w:ascii="Arial" w:hAnsi="Arial"/>
          <w:b/>
          <w:bCs/>
          <w:lang w:val="fr-FR"/>
        </w:rPr>
        <w:t>RECURSOS POR INCUMPLIMIENTO</w:t>
      </w:r>
    </w:p>
    <w:p w14:paraId="43E2FE7C" w14:textId="77777777" w:rsidR="00A92ACE" w:rsidRPr="004F56D0" w:rsidRDefault="00A92ACE" w:rsidP="00A92ACE">
      <w:pPr>
        <w:rPr>
          <w:rFonts w:ascii="Arial" w:hAnsi="Arial" w:cs="Arial"/>
          <w:szCs w:val="24"/>
          <w:lang w:val="es-ES_tradnl"/>
        </w:rPr>
      </w:pPr>
      <w:r w:rsidRPr="004F56D0">
        <w:rPr>
          <w:rFonts w:ascii="Arial" w:hAnsi="Arial" w:cs="Arial"/>
          <w:szCs w:val="24"/>
          <w:lang w:val="es-ES_tradnl"/>
        </w:rPr>
        <w:t xml:space="preserve">En el periodo comprendido en la presente crónica, se dictaron cuatro sentencias en respuesta a recursos por incumplimiento. Por orden cronológico, cabe reseñar las dos primeras, dictadas el mismo día. En la sentencia del Tribunal de Justicia de la Unión Europea (Sala Décima) de 28 de abril de 2022, as. </w:t>
      </w:r>
      <w:r w:rsidRPr="004F56D0">
        <w:rPr>
          <w:rFonts w:ascii="Arial" w:hAnsi="Arial" w:cs="Arial"/>
          <w:szCs w:val="24"/>
          <w:lang w:val="es-ES"/>
        </w:rPr>
        <w:t>C</w:t>
      </w:r>
      <w:r w:rsidRPr="004F56D0">
        <w:rPr>
          <w:rFonts w:ascii="Arial" w:hAnsi="Arial" w:cs="Arial"/>
          <w:szCs w:val="24"/>
          <w:lang w:val="es-ES"/>
        </w:rPr>
        <w:noBreakHyphen/>
        <w:t>286/21</w:t>
      </w:r>
      <w:r w:rsidRPr="004F56D0">
        <w:rPr>
          <w:rFonts w:ascii="Arial" w:hAnsi="Arial" w:cs="Arial"/>
          <w:szCs w:val="24"/>
          <w:shd w:val="clear" w:color="auto" w:fill="FFFFFF"/>
          <w:lang w:val="es-ES"/>
        </w:rPr>
        <w:t xml:space="preserve">, </w:t>
      </w:r>
      <w:r w:rsidRPr="004F56D0">
        <w:rPr>
          <w:rFonts w:ascii="Arial" w:hAnsi="Arial" w:cs="Arial"/>
          <w:szCs w:val="24"/>
          <w:lang w:val="es-ES_tradnl"/>
        </w:rPr>
        <w:t xml:space="preserve">Comisión Europea contra República Francesa, se declaró el incumplimiento por parte del Estado de diversos apartados de la </w:t>
      </w:r>
      <w:r w:rsidRPr="004F56D0">
        <w:rPr>
          <w:rFonts w:ascii="Arial" w:hAnsi="Arial" w:cs="Arial"/>
          <w:szCs w:val="24"/>
          <w:lang w:val="es-ES"/>
        </w:rPr>
        <w:t>Directiva 2008/50/CE relativa a la calidad del aire y a una atmósfera más limpia en Europa</w:t>
      </w:r>
      <w:r w:rsidRPr="004F56D0">
        <w:rPr>
          <w:rStyle w:val="Refdenotaalpie"/>
          <w:rFonts w:ascii="Arial" w:hAnsi="Arial" w:cs="Arial"/>
          <w:szCs w:val="24"/>
          <w:lang w:val="es-ES_tradnl"/>
        </w:rPr>
        <w:footnoteReference w:id="1"/>
      </w:r>
      <w:r w:rsidRPr="004F56D0">
        <w:rPr>
          <w:rFonts w:ascii="Arial" w:eastAsia="Times New Roman" w:hAnsi="Arial" w:cs="Arial"/>
          <w:bCs/>
          <w:szCs w:val="24"/>
          <w:shd w:val="clear" w:color="auto" w:fill="FFFFFF"/>
          <w:lang w:val="es-ES" w:eastAsia="es-ES"/>
        </w:rPr>
        <w:t>.</w:t>
      </w:r>
    </w:p>
    <w:p w14:paraId="133A114D" w14:textId="77777777" w:rsidR="002114BD" w:rsidRPr="004F56D0" w:rsidRDefault="00A92ACE" w:rsidP="002114BD">
      <w:pPr>
        <w:rPr>
          <w:rFonts w:ascii="Arial" w:hAnsi="Arial" w:cs="Arial"/>
          <w:bCs/>
          <w:szCs w:val="24"/>
          <w:lang w:val="es-ES"/>
        </w:rPr>
      </w:pPr>
      <w:r w:rsidRPr="004F56D0">
        <w:rPr>
          <w:rFonts w:ascii="Arial" w:hAnsi="Arial" w:cs="Arial"/>
          <w:szCs w:val="24"/>
          <w:lang w:val="es-ES_tradnl"/>
        </w:rPr>
        <w:t xml:space="preserve">El Tribunal declaró el incumplimiento del </w:t>
      </w:r>
      <w:r w:rsidRPr="004F56D0">
        <w:rPr>
          <w:rFonts w:ascii="Arial" w:hAnsi="Arial" w:cs="Arial"/>
          <w:bCs/>
          <w:szCs w:val="24"/>
          <w:lang w:val="es-ES"/>
        </w:rPr>
        <w:t xml:space="preserve">artículo 13.1 de esta Directiva, en relación con su anexo XI, debido a que se había superado de forma sistemática y persistente </w:t>
      </w:r>
      <w:r w:rsidRPr="004F56D0">
        <w:rPr>
          <w:rFonts w:ascii="Arial" w:hAnsi="Arial" w:cs="Arial"/>
          <w:bCs/>
          <w:szCs w:val="24"/>
          <w:shd w:val="clear" w:color="auto" w:fill="FFFFFF"/>
          <w:lang w:val="es-ES"/>
        </w:rPr>
        <w:t>el valor límite</w:t>
      </w:r>
      <w:r w:rsidRPr="004F56D0">
        <w:rPr>
          <w:rFonts w:ascii="Arial" w:hAnsi="Arial" w:cs="Arial"/>
          <w:bCs/>
          <w:szCs w:val="24"/>
          <w:lang w:val="es-ES"/>
        </w:rPr>
        <w:t xml:space="preserve"> diario aplicable a las concentraciones de micropartículas (PM10) en las zonas y en los periodos analizados. En la sentencia se recordó su reiterada jurisprudencia en la que se ha manifestado que </w:t>
      </w:r>
      <w:r w:rsidRPr="004F56D0">
        <w:rPr>
          <w:rFonts w:ascii="Arial" w:hAnsi="Arial" w:cs="Arial"/>
          <w:szCs w:val="24"/>
          <w:shd w:val="clear" w:color="auto" w:fill="FFFFFF"/>
          <w:lang w:val="es-ES"/>
        </w:rPr>
        <w:t>superar los valores límite fijados para los contaminantes en el aire es, en sí mismo, suficiente para señalar una infracción de las disposiciones combinadas del artículo 13.1, y del anexo XI de la Directiva 2008/50, al tiempo que detectar</w:t>
      </w:r>
      <w:r>
        <w:rPr>
          <w:rFonts w:ascii="Arial" w:hAnsi="Arial" w:cs="Arial"/>
          <w:szCs w:val="24"/>
          <w:shd w:val="clear" w:color="auto" w:fill="FFFFFF"/>
          <w:lang w:val="es-ES"/>
        </w:rPr>
        <w:t xml:space="preserve"> </w:t>
      </w:r>
      <w:r w:rsidR="002114BD" w:rsidRPr="004F56D0">
        <w:rPr>
          <w:rFonts w:ascii="Arial" w:hAnsi="Arial" w:cs="Arial"/>
          <w:szCs w:val="24"/>
          <w:shd w:val="clear" w:color="auto" w:fill="FFFFFF"/>
          <w:lang w:val="es-ES"/>
        </w:rPr>
        <w:t>una tendencia a la baja no impide mantener la calificación de la infracción como sistemática y persistente</w:t>
      </w:r>
      <w:r w:rsidR="002114BD" w:rsidRPr="004F56D0">
        <w:rPr>
          <w:rStyle w:val="Refdenotaalpie"/>
          <w:rFonts w:ascii="Arial" w:hAnsi="Arial" w:cs="Arial"/>
          <w:szCs w:val="24"/>
          <w:shd w:val="clear" w:color="auto" w:fill="FFFFFF"/>
        </w:rPr>
        <w:footnoteReference w:id="2"/>
      </w:r>
      <w:r w:rsidR="002114BD" w:rsidRPr="004F56D0">
        <w:rPr>
          <w:rFonts w:ascii="Arial" w:hAnsi="Arial" w:cs="Arial"/>
          <w:szCs w:val="24"/>
          <w:shd w:val="clear" w:color="auto" w:fill="FFFFFF"/>
          <w:lang w:val="es-ES"/>
        </w:rPr>
        <w:t xml:space="preserve">. Asimismo, se declaró el incumplimiento del artículo 23.1 de la Directiva, </w:t>
      </w:r>
      <w:proofErr w:type="gramStart"/>
      <w:r w:rsidR="002114BD" w:rsidRPr="004F56D0">
        <w:rPr>
          <w:rFonts w:ascii="Arial" w:hAnsi="Arial" w:cs="Arial"/>
          <w:szCs w:val="24"/>
          <w:shd w:val="clear" w:color="auto" w:fill="FFFFFF"/>
          <w:lang w:val="es-ES"/>
        </w:rPr>
        <w:t>en relación a</w:t>
      </w:r>
      <w:proofErr w:type="gramEnd"/>
      <w:r w:rsidR="002114BD" w:rsidRPr="004F56D0">
        <w:rPr>
          <w:rFonts w:ascii="Arial" w:hAnsi="Arial" w:cs="Arial"/>
          <w:szCs w:val="24"/>
          <w:shd w:val="clear" w:color="auto" w:fill="FFFFFF"/>
          <w:lang w:val="es-ES"/>
        </w:rPr>
        <w:t xml:space="preserve"> su Anexo XV, </w:t>
      </w:r>
      <w:r w:rsidR="002114BD" w:rsidRPr="004F56D0">
        <w:rPr>
          <w:rFonts w:ascii="Arial" w:hAnsi="Arial" w:cs="Arial"/>
          <w:bCs/>
          <w:szCs w:val="24"/>
          <w:lang w:val="es-ES"/>
        </w:rPr>
        <w:t xml:space="preserve">al no asegurar el Estado que los planes sobre calidad del aire incluyeran las medidas adecuadas para que el período de superación de este valor límite fuera lo más breve </w:t>
      </w:r>
      <w:r w:rsidR="002114BD" w:rsidRPr="004F56D0">
        <w:rPr>
          <w:rFonts w:ascii="Arial" w:hAnsi="Arial" w:cs="Arial"/>
          <w:bCs/>
          <w:szCs w:val="24"/>
          <w:lang w:val="es-ES"/>
        </w:rPr>
        <w:lastRenderedPageBreak/>
        <w:t>posible en las áreas analizadas. Para llegar a esta conclusión, el Tribunal recordó que era necesario un análisis caso por caso, lo que en el asunto planteado llevó a la evaluación de los datos y la ponderación del tiempo transcurrido con los valores límites superados</w:t>
      </w:r>
      <w:r w:rsidR="002114BD" w:rsidRPr="004F56D0">
        <w:rPr>
          <w:rStyle w:val="Refdenotaalpie"/>
          <w:rFonts w:ascii="Arial" w:hAnsi="Arial" w:cs="Arial"/>
          <w:szCs w:val="24"/>
          <w:shd w:val="clear" w:color="auto" w:fill="FFFFFF"/>
        </w:rPr>
        <w:footnoteReference w:id="3"/>
      </w:r>
      <w:r w:rsidR="002114BD" w:rsidRPr="004F56D0">
        <w:rPr>
          <w:rFonts w:ascii="Arial" w:hAnsi="Arial" w:cs="Arial"/>
          <w:szCs w:val="24"/>
          <w:shd w:val="clear" w:color="auto" w:fill="FFFFFF"/>
          <w:lang w:val="es-ES"/>
        </w:rPr>
        <w:t xml:space="preserve">. </w:t>
      </w:r>
    </w:p>
    <w:p w14:paraId="35B67F48" w14:textId="77777777" w:rsidR="002114BD" w:rsidRPr="004F56D0" w:rsidRDefault="002114BD" w:rsidP="002114BD">
      <w:pPr>
        <w:rPr>
          <w:rFonts w:ascii="Arial" w:hAnsi="Arial" w:cs="Arial"/>
          <w:bCs/>
          <w:szCs w:val="24"/>
          <w:lang w:val="es-ES"/>
        </w:rPr>
      </w:pPr>
      <w:r w:rsidRPr="004F56D0">
        <w:rPr>
          <w:rFonts w:ascii="Arial" w:hAnsi="Arial" w:cs="Arial"/>
          <w:szCs w:val="24"/>
          <w:lang w:val="es-ES"/>
        </w:rPr>
        <w:t xml:space="preserve">En el mismo día que la anterior, se dictó la sentencia del </w:t>
      </w:r>
      <w:r w:rsidRPr="004F56D0">
        <w:rPr>
          <w:rFonts w:ascii="Arial" w:hAnsi="Arial" w:cs="Arial"/>
          <w:szCs w:val="24"/>
          <w:lang w:val="es-ES_tradnl"/>
        </w:rPr>
        <w:t xml:space="preserve">Tribunal de Justicia de la Unión Europea (Sala Séptima) de 28 de abril de 2022, as. </w:t>
      </w:r>
      <w:r w:rsidRPr="004F56D0">
        <w:rPr>
          <w:rFonts w:ascii="Arial" w:hAnsi="Arial" w:cs="Arial"/>
          <w:szCs w:val="24"/>
          <w:lang w:val="es-ES"/>
        </w:rPr>
        <w:t>C</w:t>
      </w:r>
      <w:r w:rsidRPr="004F56D0">
        <w:rPr>
          <w:rFonts w:ascii="Arial" w:hAnsi="Arial" w:cs="Arial"/>
          <w:szCs w:val="24"/>
          <w:lang w:val="es-ES"/>
        </w:rPr>
        <w:noBreakHyphen/>
        <w:t>510/20</w:t>
      </w:r>
      <w:r w:rsidRPr="004F56D0">
        <w:rPr>
          <w:rFonts w:ascii="Arial" w:hAnsi="Arial" w:cs="Arial"/>
          <w:szCs w:val="24"/>
          <w:shd w:val="clear" w:color="auto" w:fill="FFFFFF"/>
          <w:lang w:val="es-ES"/>
        </w:rPr>
        <w:t xml:space="preserve">, </w:t>
      </w:r>
      <w:r w:rsidRPr="004F56D0">
        <w:rPr>
          <w:rFonts w:ascii="Arial" w:hAnsi="Arial" w:cs="Arial"/>
          <w:szCs w:val="24"/>
          <w:lang w:val="es-ES_tradnl"/>
        </w:rPr>
        <w:t xml:space="preserve">Comisión Europea contra República de Bulgaria, en la que se declaró el incumplimiento del Estado de la Directiva </w:t>
      </w:r>
      <w:r w:rsidRPr="004F56D0">
        <w:rPr>
          <w:rFonts w:ascii="Arial" w:hAnsi="Arial" w:cs="Arial"/>
          <w:bCs/>
          <w:szCs w:val="24"/>
          <w:lang w:val="es-ES"/>
        </w:rPr>
        <w:t>marco sobre la estrategia marina, de 17 de junio de 2008</w:t>
      </w:r>
      <w:r w:rsidRPr="004F56D0">
        <w:rPr>
          <w:rStyle w:val="Refdenotaalpie"/>
          <w:rFonts w:ascii="Arial" w:hAnsi="Arial" w:cs="Arial"/>
          <w:szCs w:val="24"/>
          <w:lang w:val="es-ES_tradnl"/>
        </w:rPr>
        <w:footnoteReference w:id="4"/>
      </w:r>
      <w:r w:rsidRPr="004F56D0">
        <w:rPr>
          <w:rFonts w:ascii="Arial" w:eastAsia="Times New Roman" w:hAnsi="Arial" w:cs="Arial"/>
          <w:bCs/>
          <w:szCs w:val="24"/>
          <w:shd w:val="clear" w:color="auto" w:fill="FFFFFF"/>
          <w:lang w:val="es-ES" w:eastAsia="es-ES"/>
        </w:rPr>
        <w:t xml:space="preserve">. El Tribunal analizó los datos aportados y señaló que el Estado había incumplido los artículos 17 y 5 de la Directiva, al no haber revisado, en el plazo previsto, </w:t>
      </w:r>
      <w:r w:rsidRPr="004F56D0">
        <w:rPr>
          <w:rFonts w:ascii="Arial" w:hAnsi="Arial" w:cs="Arial"/>
          <w:bCs/>
          <w:szCs w:val="24"/>
          <w:lang w:val="es-ES"/>
        </w:rPr>
        <w:t>la evaluación inicial y la definición del buen estado medioambiental y de los objetivos medioambientales, y no haber comunicado a la Comisión los detalles de las actualizaciones efectuadas tras esas revisiones</w:t>
      </w:r>
      <w:r w:rsidRPr="004F56D0">
        <w:rPr>
          <w:rStyle w:val="Refdenotaalpie"/>
          <w:rFonts w:ascii="Arial" w:hAnsi="Arial" w:cs="Arial"/>
          <w:szCs w:val="24"/>
          <w:shd w:val="clear" w:color="auto" w:fill="FFFFFF"/>
        </w:rPr>
        <w:footnoteReference w:id="5"/>
      </w:r>
      <w:r w:rsidRPr="004F56D0">
        <w:rPr>
          <w:rFonts w:ascii="Arial" w:hAnsi="Arial" w:cs="Arial"/>
          <w:bCs/>
          <w:szCs w:val="24"/>
          <w:lang w:val="es-ES"/>
        </w:rPr>
        <w:t>. A este respecto</w:t>
      </w:r>
      <w:r w:rsidRPr="004F56D0">
        <w:rPr>
          <w:rFonts w:ascii="Arial" w:hAnsi="Arial" w:cs="Arial"/>
          <w:szCs w:val="24"/>
          <w:lang w:val="es-ES"/>
        </w:rPr>
        <w:t>, el Tribunal señaló que la Directiva no establece ninguna excepción a esta obligación</w:t>
      </w:r>
      <w:r w:rsidRPr="004F56D0">
        <w:rPr>
          <w:rStyle w:val="Refdenotaalpie"/>
          <w:rFonts w:ascii="Arial" w:hAnsi="Arial" w:cs="Arial"/>
          <w:szCs w:val="24"/>
          <w:shd w:val="clear" w:color="auto" w:fill="FFFFFF"/>
        </w:rPr>
        <w:footnoteReference w:id="6"/>
      </w:r>
      <w:r w:rsidRPr="004F56D0">
        <w:rPr>
          <w:rFonts w:ascii="Arial" w:hAnsi="Arial" w:cs="Arial"/>
          <w:bCs/>
          <w:szCs w:val="24"/>
          <w:lang w:val="es-ES"/>
        </w:rPr>
        <w:t>.</w:t>
      </w:r>
    </w:p>
    <w:p w14:paraId="4C2803B2" w14:textId="77777777" w:rsidR="00A61B25" w:rsidRPr="004F56D0" w:rsidRDefault="002114BD" w:rsidP="00A61B25">
      <w:pPr>
        <w:rPr>
          <w:rFonts w:ascii="Arial" w:hAnsi="Arial" w:cs="Arial"/>
          <w:bCs/>
          <w:szCs w:val="24"/>
          <w:lang w:val="es-ES"/>
        </w:rPr>
      </w:pPr>
      <w:r w:rsidRPr="004F56D0">
        <w:rPr>
          <w:rFonts w:ascii="Arial" w:hAnsi="Arial" w:cs="Arial"/>
          <w:szCs w:val="24"/>
          <w:lang w:val="es-ES_tradnl"/>
        </w:rPr>
        <w:t xml:space="preserve">El tercer pronunciamiento que puede señalarse en este periodo se incluyó en la sentencia del Tribunal de Justicia de la Unión Europea (Sala Séptima) de 12 de mayo de 2022, as. </w:t>
      </w:r>
      <w:r w:rsidRPr="004F56D0">
        <w:rPr>
          <w:rFonts w:ascii="Arial" w:hAnsi="Arial" w:cs="Arial"/>
          <w:szCs w:val="24"/>
          <w:lang w:val="es-ES"/>
        </w:rPr>
        <w:t>C</w:t>
      </w:r>
      <w:r w:rsidRPr="004F56D0">
        <w:rPr>
          <w:rFonts w:ascii="Arial" w:hAnsi="Arial" w:cs="Arial"/>
          <w:szCs w:val="24"/>
          <w:lang w:val="es-ES"/>
        </w:rPr>
        <w:noBreakHyphen/>
        <w:t>573/19</w:t>
      </w:r>
      <w:r w:rsidRPr="004F56D0">
        <w:rPr>
          <w:rFonts w:ascii="Arial" w:hAnsi="Arial" w:cs="Arial"/>
          <w:szCs w:val="24"/>
          <w:lang w:val="es-ES_tradnl"/>
        </w:rPr>
        <w:t xml:space="preserve">, Comisión Europea contra República de Bulgaria, en la que nuevamente se declaró el incumplimiento de la </w:t>
      </w:r>
      <w:r w:rsidRPr="004F56D0">
        <w:rPr>
          <w:rFonts w:ascii="Arial" w:hAnsi="Arial" w:cs="Arial"/>
          <w:szCs w:val="24"/>
          <w:lang w:val="es-ES"/>
        </w:rPr>
        <w:t>Directiva 2008/50/CE relativa a la calidad del aire y a una atmósfera más limpia en Europa. El Tribunal analizó los datos disponibles para determinar que no se había evitado que se</w:t>
      </w:r>
      <w:r w:rsidR="00A61B25">
        <w:rPr>
          <w:rFonts w:ascii="Arial" w:hAnsi="Arial" w:cs="Arial"/>
          <w:szCs w:val="24"/>
          <w:lang w:val="es-ES"/>
        </w:rPr>
        <w:t xml:space="preserve"> </w:t>
      </w:r>
      <w:r w:rsidR="00A61B25" w:rsidRPr="004F56D0">
        <w:rPr>
          <w:rFonts w:ascii="Arial" w:hAnsi="Arial" w:cs="Arial"/>
          <w:szCs w:val="24"/>
          <w:lang w:val="es-ES"/>
        </w:rPr>
        <w:t xml:space="preserve">superasen de forma sistemática y persistente </w:t>
      </w:r>
      <w:r w:rsidR="00A61B25" w:rsidRPr="004F56D0">
        <w:rPr>
          <w:rFonts w:ascii="Arial" w:hAnsi="Arial" w:cs="Arial"/>
          <w:bCs/>
          <w:szCs w:val="24"/>
          <w:lang w:val="es-ES"/>
        </w:rPr>
        <w:t>el valor límite horario fijado para el dióxido de azufre (SO2) en los espacios y los periodos evaluados, de forma que se había vulnerado el artículo 13.1 y el anexo XI de la Directiva</w:t>
      </w:r>
      <w:r w:rsidR="00A61B25" w:rsidRPr="004F56D0">
        <w:rPr>
          <w:rStyle w:val="Refdenotaalpie"/>
          <w:rFonts w:ascii="Arial" w:hAnsi="Arial" w:cs="Arial"/>
          <w:szCs w:val="24"/>
          <w:shd w:val="clear" w:color="auto" w:fill="FFFFFF"/>
        </w:rPr>
        <w:footnoteReference w:id="7"/>
      </w:r>
      <w:r w:rsidR="00A61B25" w:rsidRPr="004F56D0">
        <w:rPr>
          <w:rFonts w:ascii="Arial" w:hAnsi="Arial" w:cs="Arial"/>
          <w:bCs/>
          <w:szCs w:val="24"/>
          <w:lang w:val="es-ES"/>
        </w:rPr>
        <w:t>. Asimismo, se declaró que no se habían adoptado las medidas adecuadas para garantizar el cumplimiento de los valores límite fijados para el SO2, de forma que se había vulnerado el artículo 23.1, y el anexo XV de la Directiva</w:t>
      </w:r>
      <w:r w:rsidR="00A61B25" w:rsidRPr="004F56D0">
        <w:rPr>
          <w:rStyle w:val="Refdenotaalpie"/>
          <w:rFonts w:ascii="Arial" w:hAnsi="Arial" w:cs="Arial"/>
          <w:szCs w:val="24"/>
          <w:shd w:val="clear" w:color="auto" w:fill="FFFFFF"/>
        </w:rPr>
        <w:footnoteReference w:id="8"/>
      </w:r>
      <w:r w:rsidR="00A61B25" w:rsidRPr="004F56D0">
        <w:rPr>
          <w:rFonts w:ascii="Arial" w:hAnsi="Arial" w:cs="Arial"/>
          <w:szCs w:val="24"/>
          <w:shd w:val="clear" w:color="auto" w:fill="FFFFFF"/>
          <w:lang w:val="es-ES"/>
        </w:rPr>
        <w:t>.</w:t>
      </w:r>
      <w:r w:rsidR="00A61B25" w:rsidRPr="004F56D0">
        <w:rPr>
          <w:rFonts w:ascii="Arial" w:hAnsi="Arial" w:cs="Arial"/>
          <w:bCs/>
          <w:szCs w:val="24"/>
          <w:lang w:val="es-ES"/>
        </w:rPr>
        <w:t xml:space="preserve"> </w:t>
      </w:r>
    </w:p>
    <w:p w14:paraId="79F0E014" w14:textId="09EC1F40" w:rsidR="004F7290" w:rsidRDefault="00A61B25" w:rsidP="00A61B25">
      <w:pPr>
        <w:rPr>
          <w:rFonts w:ascii="Arial" w:hAnsi="Arial" w:cs="Arial"/>
          <w:szCs w:val="24"/>
          <w:shd w:val="clear" w:color="auto" w:fill="FFFFFF"/>
          <w:lang w:val="es-ES"/>
        </w:rPr>
      </w:pPr>
      <w:r w:rsidRPr="004F56D0">
        <w:rPr>
          <w:rFonts w:ascii="Arial" w:hAnsi="Arial" w:cs="Arial"/>
          <w:szCs w:val="24"/>
          <w:lang w:val="es-ES_tradnl"/>
        </w:rPr>
        <w:lastRenderedPageBreak/>
        <w:t xml:space="preserve">Como último pronunciamiento de este apartado, se incluye la sentencia del Tribunal de Justicia de la Unión Europea (Sala Sexta) de 22 de junio de 2022, as. </w:t>
      </w:r>
      <w:r w:rsidRPr="004F56D0">
        <w:rPr>
          <w:rFonts w:ascii="Arial" w:hAnsi="Arial" w:cs="Arial"/>
          <w:szCs w:val="24"/>
          <w:lang w:val="es-ES"/>
        </w:rPr>
        <w:t>C</w:t>
      </w:r>
      <w:r w:rsidRPr="004F56D0">
        <w:rPr>
          <w:rFonts w:ascii="Arial" w:hAnsi="Arial" w:cs="Arial"/>
          <w:szCs w:val="24"/>
          <w:lang w:val="es-ES"/>
        </w:rPr>
        <w:noBreakHyphen/>
        <w:t>661/20</w:t>
      </w:r>
      <w:r w:rsidRPr="004F56D0">
        <w:rPr>
          <w:rFonts w:ascii="Arial" w:hAnsi="Arial" w:cs="Arial"/>
          <w:szCs w:val="24"/>
          <w:lang w:val="es-ES_tradnl"/>
        </w:rPr>
        <w:t xml:space="preserve">, Comisión Europea contra República Eslovaca, en la que se declaró el incumplimiento del Estado de la </w:t>
      </w:r>
      <w:r w:rsidRPr="004F56D0">
        <w:rPr>
          <w:rFonts w:ascii="Arial" w:hAnsi="Arial" w:cs="Arial"/>
          <w:szCs w:val="24"/>
          <w:lang w:val="es-ES"/>
        </w:rPr>
        <w:t>Directiva Hábitats y la Directiva Aves</w:t>
      </w:r>
      <w:r w:rsidRPr="004F56D0">
        <w:rPr>
          <w:rStyle w:val="Refdenotaalpie"/>
          <w:rFonts w:ascii="Arial" w:hAnsi="Arial" w:cs="Arial"/>
          <w:szCs w:val="24"/>
          <w:lang w:val="es-ES_tradnl"/>
        </w:rPr>
        <w:footnoteReference w:id="9"/>
      </w:r>
      <w:r w:rsidRPr="004F56D0">
        <w:rPr>
          <w:rFonts w:ascii="Arial" w:hAnsi="Arial" w:cs="Arial"/>
          <w:szCs w:val="24"/>
          <w:lang w:val="es-ES"/>
        </w:rPr>
        <w:t xml:space="preserve">. El objeto de controversia en este caso fue la actividad del Estado </w:t>
      </w:r>
      <w:proofErr w:type="gramStart"/>
      <w:r w:rsidRPr="004F56D0">
        <w:rPr>
          <w:rFonts w:ascii="Arial" w:hAnsi="Arial" w:cs="Arial"/>
          <w:szCs w:val="24"/>
          <w:lang w:val="es-ES"/>
        </w:rPr>
        <w:t>en relación a</w:t>
      </w:r>
      <w:proofErr w:type="gramEnd"/>
      <w:r w:rsidRPr="004F56D0">
        <w:rPr>
          <w:rFonts w:ascii="Arial" w:hAnsi="Arial" w:cs="Arial"/>
          <w:szCs w:val="24"/>
          <w:lang w:val="es-ES"/>
        </w:rPr>
        <w:t xml:space="preserve"> las Zonas</w:t>
      </w:r>
      <w:r w:rsidRPr="004F56D0">
        <w:rPr>
          <w:rFonts w:ascii="Arial" w:hAnsi="Arial" w:cs="Arial"/>
          <w:bCs/>
          <w:szCs w:val="24"/>
          <w:lang w:val="es-ES"/>
        </w:rPr>
        <w:t xml:space="preserve"> de Protección Especial designadas para la conservación del urogallo</w:t>
      </w:r>
      <w:r w:rsidRPr="004F56D0">
        <w:rPr>
          <w:rFonts w:ascii="Arial" w:hAnsi="Arial" w:cs="Arial"/>
          <w:szCs w:val="24"/>
          <w:lang w:val="es-ES"/>
        </w:rPr>
        <w:t xml:space="preserve">, valorando el Tribunal que no se habían tomado las medidas adecuadas para su mantenimiento. En particular, en la sentencia se declaró el incumplimiento del artículo </w:t>
      </w:r>
      <w:r w:rsidRPr="004F56D0">
        <w:rPr>
          <w:rFonts w:ascii="Arial" w:hAnsi="Arial" w:cs="Arial"/>
          <w:bCs/>
          <w:szCs w:val="24"/>
          <w:lang w:val="es-ES"/>
        </w:rPr>
        <w:t>6.3 y 7 de la Directiva Hábitats, y del artículo 4.1 de la Directiva Aves, al “</w:t>
      </w:r>
      <w:r w:rsidRPr="004F56D0">
        <w:rPr>
          <w:rFonts w:ascii="Arial" w:hAnsi="Arial" w:cs="Arial"/>
          <w:szCs w:val="24"/>
          <w:lang w:val="es-ES"/>
        </w:rPr>
        <w:t>haber eximido los  programas de mantenimiento de los bosques y sus modificaciones, las cortas de emergencia y las medidas destinadas a prevenir las amenazas que pesan sobre los bosques y a eliminar las consecuencias de los daños causados por catástrofes naturales de la obligación, cuando puedan afectar a zonas Natura 2000, de ser sometidos a una adecuada evaluación de sus repercusiones en la zona de que se trate, teniendo en cuenta los objetivos de conservación de dicha zona; al no haber adoptado las medidas adecuadas para impedir el deterioro de los hábitats y las alteraciones con efectos apreciables en las ZPE designadas para la conservación del urogallo […]; al no haber adoptado las medidas de conservación especiales aplicables al hábitat del urogallo (</w:t>
      </w:r>
      <w:proofErr w:type="spellStart"/>
      <w:r w:rsidRPr="004F56D0">
        <w:rPr>
          <w:rFonts w:ascii="Arial" w:hAnsi="Arial" w:cs="Arial"/>
          <w:i/>
          <w:iCs/>
          <w:szCs w:val="24"/>
          <w:lang w:val="es-ES"/>
        </w:rPr>
        <w:t>Tetrao</w:t>
      </w:r>
      <w:proofErr w:type="spellEnd"/>
      <w:r w:rsidRPr="004F56D0">
        <w:rPr>
          <w:rFonts w:ascii="Arial" w:hAnsi="Arial" w:cs="Arial"/>
          <w:i/>
          <w:iCs/>
          <w:szCs w:val="24"/>
          <w:lang w:val="es-ES"/>
        </w:rPr>
        <w:t xml:space="preserve"> </w:t>
      </w:r>
      <w:proofErr w:type="spellStart"/>
      <w:r w:rsidRPr="004F56D0">
        <w:rPr>
          <w:rFonts w:ascii="Arial" w:hAnsi="Arial" w:cs="Arial"/>
          <w:i/>
          <w:iCs/>
          <w:szCs w:val="24"/>
          <w:lang w:val="es-ES"/>
        </w:rPr>
        <w:t>urogallus</w:t>
      </w:r>
      <w:proofErr w:type="spellEnd"/>
      <w:r w:rsidRPr="004F56D0">
        <w:rPr>
          <w:rFonts w:ascii="Arial" w:hAnsi="Arial" w:cs="Arial"/>
          <w:szCs w:val="24"/>
          <w:lang w:val="es-ES"/>
        </w:rPr>
        <w:t>) en las ZPE designadas para su conservación con el</w:t>
      </w:r>
      <w:r w:rsidR="00116F3A">
        <w:rPr>
          <w:rFonts w:ascii="Arial" w:hAnsi="Arial" w:cs="Arial"/>
          <w:szCs w:val="24"/>
          <w:lang w:val="es-ES"/>
        </w:rPr>
        <w:t xml:space="preserve"> </w:t>
      </w:r>
      <w:r w:rsidR="00116F3A" w:rsidRPr="004F56D0">
        <w:rPr>
          <w:rFonts w:ascii="Arial" w:hAnsi="Arial" w:cs="Arial"/>
          <w:szCs w:val="24"/>
          <w:lang w:val="es-ES"/>
        </w:rPr>
        <w:t>fin de asegurar su supervivencia y su reproducción en su área de distribución […]”</w:t>
      </w:r>
      <w:r w:rsidR="00116F3A" w:rsidRPr="004F56D0">
        <w:rPr>
          <w:rStyle w:val="Refdenotaalpie"/>
          <w:rFonts w:ascii="Arial" w:hAnsi="Arial" w:cs="Arial"/>
          <w:szCs w:val="24"/>
          <w:shd w:val="clear" w:color="auto" w:fill="FFFFFF"/>
        </w:rPr>
        <w:footnoteReference w:id="10"/>
      </w:r>
      <w:r w:rsidR="00116F3A" w:rsidRPr="004F56D0">
        <w:rPr>
          <w:rFonts w:ascii="Arial" w:hAnsi="Arial" w:cs="Arial"/>
          <w:szCs w:val="24"/>
          <w:shd w:val="clear" w:color="auto" w:fill="FFFFFF"/>
          <w:lang w:val="es-ES"/>
        </w:rPr>
        <w:t>.</w:t>
      </w:r>
    </w:p>
    <w:p w14:paraId="42778A5B" w14:textId="1B205737" w:rsidR="00116F3A" w:rsidRDefault="00770E8A" w:rsidP="00A61B25">
      <w:pPr>
        <w:rPr>
          <w:rFonts w:ascii="Arial" w:hAnsi="Arial" w:cs="Arial"/>
          <w:b/>
          <w:szCs w:val="24"/>
          <w:lang w:val="es-ES"/>
        </w:rPr>
      </w:pPr>
      <w:r>
        <w:rPr>
          <w:rFonts w:ascii="Arial" w:hAnsi="Arial"/>
          <w:b/>
          <w:bCs/>
          <w:lang w:val="fr-FR"/>
        </w:rPr>
        <w:t>3. R</w:t>
      </w:r>
      <w:r w:rsidRPr="004F56D0">
        <w:rPr>
          <w:rFonts w:ascii="Arial" w:hAnsi="Arial" w:cs="Arial"/>
          <w:b/>
          <w:szCs w:val="24"/>
          <w:lang w:val="es-ES"/>
        </w:rPr>
        <w:t>ECURSOS DE ANULACIÓN</w:t>
      </w:r>
    </w:p>
    <w:p w14:paraId="20D95251" w14:textId="77777777" w:rsidR="00C76850" w:rsidRPr="004F56D0" w:rsidRDefault="00C76850" w:rsidP="00C76850">
      <w:pPr>
        <w:rPr>
          <w:rFonts w:ascii="Arial" w:hAnsi="Arial" w:cs="Arial"/>
          <w:szCs w:val="24"/>
          <w:shd w:val="clear" w:color="auto" w:fill="FFFFFF"/>
          <w:lang w:val="es-ES"/>
        </w:rPr>
      </w:pPr>
      <w:r w:rsidRPr="004F56D0">
        <w:rPr>
          <w:rFonts w:ascii="Arial" w:hAnsi="Arial" w:cs="Arial"/>
          <w:szCs w:val="24"/>
          <w:lang w:val="es-ES"/>
        </w:rPr>
        <w:t xml:space="preserve">En el período revisado en esta crónica, se emitieron dos sentencias en respuesta a recursos de anulación presentados contra actos de la Unión Europea con contenido ambiental. Las pretensiones de la solicitante no fueron aceptadas en la sentencia </w:t>
      </w:r>
      <w:r w:rsidRPr="004F56D0">
        <w:rPr>
          <w:rFonts w:ascii="Arial" w:hAnsi="Arial" w:cs="Arial"/>
          <w:szCs w:val="24"/>
          <w:lang w:val="es-ES_tradnl"/>
        </w:rPr>
        <w:t xml:space="preserve">del Tribunal General (Sala Primera) de </w:t>
      </w:r>
      <w:r w:rsidRPr="004F56D0">
        <w:rPr>
          <w:rFonts w:ascii="Arial" w:hAnsi="Arial" w:cs="Arial"/>
          <w:bCs/>
          <w:szCs w:val="24"/>
          <w:lang w:val="es-ES"/>
        </w:rPr>
        <w:t xml:space="preserve">7 de septiembre 2022, as. </w:t>
      </w:r>
      <w:r w:rsidRPr="004F56D0">
        <w:rPr>
          <w:rFonts w:ascii="Arial" w:hAnsi="Arial" w:cs="Arial"/>
          <w:szCs w:val="24"/>
          <w:lang w:val="es-ES"/>
        </w:rPr>
        <w:t>T</w:t>
      </w:r>
      <w:r w:rsidRPr="004F56D0">
        <w:rPr>
          <w:rFonts w:ascii="Arial" w:hAnsi="Arial" w:cs="Arial"/>
          <w:szCs w:val="24"/>
          <w:lang w:val="es-ES"/>
        </w:rPr>
        <w:noBreakHyphen/>
        <w:t>123/21</w:t>
      </w:r>
      <w:r w:rsidRPr="004F56D0">
        <w:rPr>
          <w:rFonts w:ascii="Arial" w:hAnsi="Arial" w:cs="Arial"/>
          <w:bCs/>
          <w:szCs w:val="24"/>
          <w:lang w:val="es-ES"/>
        </w:rPr>
        <w:t xml:space="preserve">, </w:t>
      </w:r>
      <w:proofErr w:type="spellStart"/>
      <w:r w:rsidRPr="004F56D0">
        <w:rPr>
          <w:rFonts w:ascii="Arial" w:hAnsi="Arial" w:cs="Arial"/>
          <w:szCs w:val="24"/>
          <w:lang w:val="es-ES"/>
        </w:rPr>
        <w:t>Stowarzyszenie</w:t>
      </w:r>
      <w:proofErr w:type="spellEnd"/>
      <w:r w:rsidRPr="004F56D0">
        <w:rPr>
          <w:rFonts w:ascii="Arial" w:hAnsi="Arial" w:cs="Arial"/>
          <w:szCs w:val="24"/>
          <w:lang w:val="es-ES"/>
        </w:rPr>
        <w:t xml:space="preserve"> </w:t>
      </w:r>
      <w:proofErr w:type="spellStart"/>
      <w:r w:rsidRPr="004F56D0">
        <w:rPr>
          <w:rFonts w:ascii="Arial" w:hAnsi="Arial" w:cs="Arial"/>
          <w:szCs w:val="24"/>
          <w:lang w:val="es-ES"/>
        </w:rPr>
        <w:t>chłodnictwa</w:t>
      </w:r>
      <w:proofErr w:type="spellEnd"/>
      <w:r w:rsidRPr="004F56D0">
        <w:rPr>
          <w:rFonts w:ascii="Arial" w:hAnsi="Arial" w:cs="Arial"/>
          <w:szCs w:val="24"/>
          <w:lang w:val="es-ES"/>
        </w:rPr>
        <w:t xml:space="preserve"> </w:t>
      </w:r>
      <w:proofErr w:type="spellStart"/>
      <w:r w:rsidRPr="004F56D0">
        <w:rPr>
          <w:rFonts w:ascii="Arial" w:hAnsi="Arial" w:cs="Arial"/>
          <w:szCs w:val="24"/>
          <w:lang w:val="es-ES"/>
        </w:rPr>
        <w:t>klimatyzacji</w:t>
      </w:r>
      <w:proofErr w:type="spellEnd"/>
      <w:r w:rsidRPr="004F56D0">
        <w:rPr>
          <w:rFonts w:ascii="Arial" w:hAnsi="Arial" w:cs="Arial"/>
          <w:szCs w:val="24"/>
          <w:lang w:val="es-ES"/>
        </w:rPr>
        <w:t xml:space="preserve"> i </w:t>
      </w:r>
      <w:proofErr w:type="spellStart"/>
      <w:r w:rsidRPr="004F56D0">
        <w:rPr>
          <w:rFonts w:ascii="Arial" w:hAnsi="Arial" w:cs="Arial"/>
          <w:szCs w:val="24"/>
          <w:lang w:val="es-ES"/>
        </w:rPr>
        <w:t>pomp</w:t>
      </w:r>
      <w:proofErr w:type="spellEnd"/>
      <w:r w:rsidRPr="004F56D0">
        <w:rPr>
          <w:rFonts w:ascii="Arial" w:hAnsi="Arial" w:cs="Arial"/>
          <w:szCs w:val="24"/>
          <w:lang w:val="es-ES"/>
        </w:rPr>
        <w:t xml:space="preserve"> </w:t>
      </w:r>
      <w:proofErr w:type="spellStart"/>
      <w:r w:rsidRPr="004F56D0">
        <w:rPr>
          <w:rFonts w:ascii="Arial" w:hAnsi="Arial" w:cs="Arial"/>
          <w:szCs w:val="24"/>
          <w:lang w:val="es-ES"/>
        </w:rPr>
        <w:t>ciepła</w:t>
      </w:r>
      <w:proofErr w:type="spellEnd"/>
      <w:r w:rsidRPr="004F56D0">
        <w:rPr>
          <w:rFonts w:ascii="Arial" w:hAnsi="Arial" w:cs="Arial"/>
          <w:bCs/>
          <w:szCs w:val="24"/>
          <w:shd w:val="clear" w:color="auto" w:fill="FFFFFF"/>
          <w:lang w:val="es-ES"/>
        </w:rPr>
        <w:t xml:space="preserve"> </w:t>
      </w:r>
      <w:r w:rsidRPr="004F56D0">
        <w:rPr>
          <w:rFonts w:ascii="Arial" w:hAnsi="Arial" w:cs="Arial"/>
          <w:bCs/>
          <w:szCs w:val="24"/>
          <w:lang w:val="es-ES"/>
        </w:rPr>
        <w:t>contra Comisión Europea,</w:t>
      </w:r>
      <w:r w:rsidRPr="004F56D0">
        <w:rPr>
          <w:rFonts w:ascii="Arial" w:hAnsi="Arial" w:cs="Arial"/>
          <w:szCs w:val="24"/>
          <w:lang w:val="es-ES"/>
        </w:rPr>
        <w:t xml:space="preserve"> en la que se rechazó la anulación de </w:t>
      </w:r>
      <w:proofErr w:type="gramStart"/>
      <w:r w:rsidRPr="004F56D0">
        <w:rPr>
          <w:rFonts w:ascii="Arial" w:hAnsi="Arial" w:cs="Arial"/>
          <w:szCs w:val="24"/>
          <w:lang w:val="es-ES"/>
        </w:rPr>
        <w:lastRenderedPageBreak/>
        <w:t>la  Decisión</w:t>
      </w:r>
      <w:proofErr w:type="gramEnd"/>
      <w:r w:rsidRPr="004F56D0">
        <w:rPr>
          <w:rFonts w:ascii="Arial" w:hAnsi="Arial" w:cs="Arial"/>
          <w:szCs w:val="24"/>
          <w:lang w:val="es-ES"/>
        </w:rPr>
        <w:t xml:space="preserve"> de la Comisión Europea de 15 de diciembre de 2020 de inclusión en el registro electrónico de </w:t>
      </w:r>
      <w:proofErr w:type="spellStart"/>
      <w:r w:rsidRPr="004F56D0">
        <w:rPr>
          <w:rFonts w:ascii="Arial" w:hAnsi="Arial" w:cs="Arial"/>
          <w:szCs w:val="24"/>
          <w:lang w:val="es-ES"/>
        </w:rPr>
        <w:t>hidrofluorocarburos</w:t>
      </w:r>
      <w:proofErr w:type="spellEnd"/>
      <w:r w:rsidRPr="004F56D0">
        <w:rPr>
          <w:rFonts w:ascii="Arial" w:hAnsi="Arial" w:cs="Arial"/>
          <w:szCs w:val="24"/>
          <w:lang w:val="es-ES"/>
        </w:rPr>
        <w:t xml:space="preserve"> (HFC) de la reducción de sus cuotas de conformidad con el artículo 25.2 del Reglamento (UE) n.º 517/2014 sobre los gases fluorados de efecto invernadero</w:t>
      </w:r>
      <w:r w:rsidRPr="004F56D0">
        <w:rPr>
          <w:rStyle w:val="Refdenotaalpie"/>
          <w:rFonts w:ascii="Arial" w:hAnsi="Arial" w:cs="Arial"/>
          <w:bCs/>
          <w:szCs w:val="24"/>
        </w:rPr>
        <w:footnoteReference w:id="11"/>
      </w:r>
      <w:r w:rsidRPr="004F56D0">
        <w:rPr>
          <w:rFonts w:ascii="Arial" w:hAnsi="Arial" w:cs="Arial"/>
          <w:szCs w:val="24"/>
          <w:shd w:val="clear" w:color="auto" w:fill="FFFFFF"/>
          <w:lang w:val="es-ES"/>
        </w:rPr>
        <w:t xml:space="preserve">. </w:t>
      </w:r>
    </w:p>
    <w:p w14:paraId="5427A4C3" w14:textId="77777777" w:rsidR="00510D41" w:rsidRPr="004F56D0" w:rsidRDefault="00C76850" w:rsidP="00510D41">
      <w:pPr>
        <w:rPr>
          <w:rFonts w:ascii="Arial" w:eastAsia="Times New Roman" w:hAnsi="Arial" w:cs="Arial"/>
          <w:szCs w:val="24"/>
          <w:lang w:val="es-ES" w:eastAsia="es-ES"/>
        </w:rPr>
      </w:pPr>
      <w:r w:rsidRPr="004F56D0">
        <w:rPr>
          <w:rFonts w:ascii="Arial" w:hAnsi="Arial" w:cs="Arial"/>
          <w:szCs w:val="24"/>
          <w:shd w:val="clear" w:color="auto" w:fill="FFFFFF"/>
          <w:lang w:val="es-ES"/>
        </w:rPr>
        <w:t xml:space="preserve">La demandante fundamentó </w:t>
      </w:r>
      <w:r w:rsidRPr="004F56D0">
        <w:rPr>
          <w:rFonts w:ascii="Arial" w:hAnsi="Arial" w:cs="Arial"/>
          <w:szCs w:val="24"/>
          <w:lang w:val="es-ES"/>
        </w:rPr>
        <w:t xml:space="preserve">su recurso de anulación en la alegación de infracción del artículo 2.10 del Reglamento </w:t>
      </w:r>
      <w:proofErr w:type="spellStart"/>
      <w:r w:rsidRPr="004F56D0">
        <w:rPr>
          <w:rFonts w:ascii="Arial" w:hAnsi="Arial" w:cs="Arial"/>
          <w:szCs w:val="24"/>
          <w:lang w:val="es-ES"/>
        </w:rPr>
        <w:t>nº</w:t>
      </w:r>
      <w:proofErr w:type="spellEnd"/>
      <w:r w:rsidRPr="004F56D0">
        <w:rPr>
          <w:rFonts w:ascii="Arial" w:hAnsi="Arial" w:cs="Arial"/>
          <w:szCs w:val="24"/>
          <w:lang w:val="es-ES"/>
        </w:rPr>
        <w:t xml:space="preserve"> 517/2014, basada en tres motivos: este precepto no implicaría “que el concepto de «comercialización» se aplique cuando los HFC se despachen a libre práctica en la Unión, en circunstancias en las que los productos se almacenan sin estar necesariamente destinados a la venta dentro de la Unión”; “la interpretación del concepto de «puesta en el mercado» debe ser conforme con la finalidad del Reglamento </w:t>
      </w:r>
      <w:proofErr w:type="spellStart"/>
      <w:r w:rsidRPr="004F56D0">
        <w:rPr>
          <w:rFonts w:ascii="Arial" w:hAnsi="Arial" w:cs="Arial"/>
          <w:szCs w:val="24"/>
          <w:lang w:val="es-ES"/>
        </w:rPr>
        <w:t>nº</w:t>
      </w:r>
      <w:proofErr w:type="spellEnd"/>
      <w:r w:rsidRPr="004F56D0">
        <w:rPr>
          <w:rFonts w:ascii="Arial" w:hAnsi="Arial" w:cs="Arial"/>
          <w:szCs w:val="24"/>
          <w:lang w:val="es-ES"/>
        </w:rPr>
        <w:t xml:space="preserve"> 517/2014”; y “, dado que un operador no puede designar, en la fase de declaración en aduana, el destino futuro de los productos, es necesario distinguir entre los HFC suministrados o puestos a disposición por un tercero en la Unión, que deben imputarse a las cuotas de comercialización de HFC asignadas, y las que entran en el ámbito de aplicación del artículo 15, apartado 2, del Reglamento n.º</w:t>
      </w:r>
      <w:r w:rsidR="00510D41">
        <w:rPr>
          <w:rFonts w:ascii="Arial" w:hAnsi="Arial" w:cs="Arial"/>
          <w:szCs w:val="24"/>
          <w:lang w:val="es-ES"/>
        </w:rPr>
        <w:t xml:space="preserve"> </w:t>
      </w:r>
      <w:r w:rsidR="00510D41" w:rsidRPr="004F56D0">
        <w:rPr>
          <w:rFonts w:ascii="Arial" w:hAnsi="Arial" w:cs="Arial"/>
          <w:szCs w:val="24"/>
          <w:lang w:val="es-ES"/>
        </w:rPr>
        <w:t>517/2014, que no deben imputarse”</w:t>
      </w:r>
      <w:r w:rsidR="00510D41" w:rsidRPr="004F56D0">
        <w:rPr>
          <w:rStyle w:val="Refdenotaalpie"/>
          <w:rFonts w:ascii="Arial" w:hAnsi="Arial" w:cs="Arial"/>
          <w:szCs w:val="24"/>
          <w:shd w:val="clear" w:color="auto" w:fill="FFFFFF"/>
        </w:rPr>
        <w:footnoteReference w:id="12"/>
      </w:r>
      <w:r w:rsidR="00510D41" w:rsidRPr="004F56D0">
        <w:rPr>
          <w:rFonts w:ascii="Arial" w:eastAsia="Times New Roman" w:hAnsi="Arial" w:cs="Arial"/>
          <w:szCs w:val="24"/>
          <w:lang w:val="es-ES" w:eastAsia="es-ES"/>
        </w:rPr>
        <w:t>. Estos fundamentos no fueron admitidos por el Tribunal General.</w:t>
      </w:r>
    </w:p>
    <w:p w14:paraId="42BEA016" w14:textId="128CFDAF" w:rsidR="00770E8A" w:rsidRDefault="00510D41" w:rsidP="00510D41">
      <w:pPr>
        <w:rPr>
          <w:rFonts w:ascii="Arial" w:hAnsi="Arial" w:cs="Arial"/>
          <w:szCs w:val="24"/>
          <w:lang w:val="es-ES"/>
        </w:rPr>
      </w:pPr>
      <w:r w:rsidRPr="004F56D0">
        <w:rPr>
          <w:rFonts w:ascii="Arial" w:hAnsi="Arial" w:cs="Arial"/>
          <w:szCs w:val="24"/>
          <w:shd w:val="clear" w:color="auto" w:fill="FFFFFF"/>
          <w:lang w:val="es-ES"/>
        </w:rPr>
        <w:t>También fue desestimatorio el resultado de la</w:t>
      </w:r>
      <w:r w:rsidRPr="004F56D0">
        <w:rPr>
          <w:rFonts w:ascii="Arial" w:hAnsi="Arial" w:cs="Arial"/>
          <w:szCs w:val="24"/>
          <w:lang w:val="es-ES"/>
        </w:rPr>
        <w:t xml:space="preserve"> sentencia</w:t>
      </w:r>
      <w:r w:rsidRPr="004F56D0">
        <w:rPr>
          <w:rFonts w:ascii="Arial" w:hAnsi="Arial" w:cs="Arial"/>
          <w:szCs w:val="24"/>
          <w:lang w:val="es-ES_tradnl"/>
        </w:rPr>
        <w:t xml:space="preserve"> </w:t>
      </w:r>
      <w:r w:rsidRPr="004F56D0">
        <w:rPr>
          <w:rFonts w:ascii="Arial" w:hAnsi="Arial" w:cs="Arial"/>
          <w:bCs/>
          <w:szCs w:val="24"/>
          <w:lang w:val="es-ES"/>
        </w:rPr>
        <w:t xml:space="preserve">del Tribunal General </w:t>
      </w:r>
      <w:r w:rsidRPr="004F56D0">
        <w:rPr>
          <w:rFonts w:ascii="Arial" w:hAnsi="Arial" w:cs="Arial"/>
          <w:szCs w:val="24"/>
          <w:lang w:val="es-ES_tradnl"/>
        </w:rPr>
        <w:t xml:space="preserve">(Sala Primera) de </w:t>
      </w:r>
      <w:r w:rsidRPr="004F56D0">
        <w:rPr>
          <w:rFonts w:ascii="Arial" w:hAnsi="Arial" w:cs="Arial"/>
          <w:szCs w:val="24"/>
          <w:lang w:val="es-ES"/>
        </w:rPr>
        <w:t>8 de junio de 2022</w:t>
      </w:r>
      <w:r w:rsidRPr="004F56D0">
        <w:rPr>
          <w:rFonts w:ascii="Arial" w:hAnsi="Arial" w:cs="Arial"/>
          <w:bCs/>
          <w:szCs w:val="24"/>
          <w:lang w:val="es-ES"/>
        </w:rPr>
        <w:t xml:space="preserve">, as. </w:t>
      </w:r>
      <w:r w:rsidRPr="004F56D0">
        <w:rPr>
          <w:rFonts w:ascii="Arial" w:hAnsi="Arial" w:cs="Arial"/>
          <w:szCs w:val="24"/>
          <w:lang w:val="es-ES"/>
        </w:rPr>
        <w:t>T</w:t>
      </w:r>
      <w:r w:rsidRPr="004F56D0">
        <w:rPr>
          <w:rFonts w:ascii="Arial" w:hAnsi="Arial" w:cs="Arial"/>
          <w:szCs w:val="24"/>
          <w:lang w:val="es-ES"/>
        </w:rPr>
        <w:noBreakHyphen/>
        <w:t>92/21</w:t>
      </w:r>
      <w:r w:rsidRPr="004F56D0">
        <w:rPr>
          <w:rFonts w:ascii="Arial" w:hAnsi="Arial" w:cs="Arial"/>
          <w:bCs/>
          <w:szCs w:val="24"/>
          <w:lang w:val="es-ES"/>
        </w:rPr>
        <w:t xml:space="preserve">, </w:t>
      </w:r>
      <w:proofErr w:type="spellStart"/>
      <w:r w:rsidRPr="004F56D0">
        <w:rPr>
          <w:rFonts w:ascii="Arial" w:hAnsi="Arial" w:cs="Arial"/>
          <w:bCs/>
          <w:szCs w:val="24"/>
          <w:lang w:val="es-ES"/>
        </w:rPr>
        <w:t>Darment</w:t>
      </w:r>
      <w:proofErr w:type="spellEnd"/>
      <w:r w:rsidRPr="004F56D0">
        <w:rPr>
          <w:rFonts w:ascii="Arial" w:hAnsi="Arial" w:cs="Arial"/>
          <w:bCs/>
          <w:szCs w:val="24"/>
          <w:lang w:val="es-ES"/>
        </w:rPr>
        <w:t xml:space="preserve"> </w:t>
      </w:r>
      <w:proofErr w:type="spellStart"/>
      <w:r w:rsidRPr="004F56D0">
        <w:rPr>
          <w:rFonts w:ascii="Arial" w:hAnsi="Arial" w:cs="Arial"/>
          <w:bCs/>
          <w:szCs w:val="24"/>
          <w:lang w:val="es-ES"/>
        </w:rPr>
        <w:t>Oy</w:t>
      </w:r>
      <w:proofErr w:type="spellEnd"/>
      <w:r w:rsidRPr="004F56D0">
        <w:rPr>
          <w:rFonts w:ascii="Arial" w:hAnsi="Arial" w:cs="Arial"/>
          <w:bCs/>
          <w:szCs w:val="24"/>
          <w:lang w:val="es-ES"/>
        </w:rPr>
        <w:t xml:space="preserve"> contra Comisión Europea, mediante la que se declaró la nulidad de la </w:t>
      </w:r>
      <w:r w:rsidRPr="004F56D0">
        <w:rPr>
          <w:rFonts w:ascii="Arial" w:hAnsi="Arial" w:cs="Arial"/>
          <w:szCs w:val="24"/>
          <w:lang w:val="es-ES"/>
        </w:rPr>
        <w:t xml:space="preserve">decisión de la Comisión Europea de 15 de diciembre de 2020 relativa a la inscripción en el registro electrónico de cuotas de puesta en el mercado de </w:t>
      </w:r>
      <w:proofErr w:type="spellStart"/>
      <w:r w:rsidRPr="004F56D0">
        <w:rPr>
          <w:rFonts w:ascii="Arial" w:hAnsi="Arial" w:cs="Arial"/>
          <w:szCs w:val="24"/>
          <w:lang w:val="es-ES"/>
        </w:rPr>
        <w:t>hidrofluorocarburos</w:t>
      </w:r>
      <w:proofErr w:type="spellEnd"/>
      <w:r w:rsidRPr="004F56D0">
        <w:rPr>
          <w:rFonts w:ascii="Arial" w:hAnsi="Arial" w:cs="Arial"/>
          <w:szCs w:val="24"/>
          <w:lang w:val="es-ES"/>
        </w:rPr>
        <w:t xml:space="preserve"> (HFC) de su cuota para el año 2021, así como para los años 2019 y 2020. En este caso la demandante invocó dos motivos. El primero fue la infracción del artículo 266 TFUE por no ejecutar la Comisión la sentencia de 28 de mayo de 2020, </w:t>
      </w:r>
      <w:proofErr w:type="spellStart"/>
      <w:r w:rsidRPr="004F56D0">
        <w:rPr>
          <w:rFonts w:ascii="Arial" w:hAnsi="Arial" w:cs="Arial"/>
          <w:szCs w:val="24"/>
          <w:lang w:val="es-ES"/>
        </w:rPr>
        <w:t>Darment</w:t>
      </w:r>
      <w:proofErr w:type="spellEnd"/>
      <w:r w:rsidRPr="004F56D0">
        <w:rPr>
          <w:rFonts w:ascii="Arial" w:hAnsi="Arial" w:cs="Arial"/>
          <w:szCs w:val="24"/>
          <w:lang w:val="es-ES"/>
        </w:rPr>
        <w:t>/Comisión, as. T</w:t>
      </w:r>
      <w:r w:rsidRPr="004F56D0">
        <w:rPr>
          <w:rFonts w:ascii="Arial" w:hAnsi="Arial" w:cs="Arial"/>
          <w:szCs w:val="24"/>
          <w:lang w:val="es-ES"/>
        </w:rPr>
        <w:noBreakHyphen/>
        <w:t>739/18</w:t>
      </w:r>
      <w:r w:rsidRPr="004F56D0">
        <w:rPr>
          <w:rStyle w:val="Refdenotaalpie"/>
          <w:rFonts w:ascii="Arial" w:hAnsi="Arial" w:cs="Arial"/>
          <w:szCs w:val="24"/>
          <w:shd w:val="clear" w:color="auto" w:fill="FFFFFF"/>
        </w:rPr>
        <w:footnoteReference w:id="13"/>
      </w:r>
      <w:r w:rsidRPr="004F56D0">
        <w:rPr>
          <w:rFonts w:ascii="Arial" w:eastAsia="Times New Roman" w:hAnsi="Arial" w:cs="Arial"/>
          <w:szCs w:val="24"/>
          <w:lang w:val="es-ES" w:eastAsia="es-ES"/>
        </w:rPr>
        <w:t xml:space="preserve">. Como segundo motivo la demandante alegó que la Comisión no había motivado la decisión impugnada, y </w:t>
      </w:r>
      <w:r w:rsidRPr="004F56D0">
        <w:rPr>
          <w:rFonts w:ascii="Arial" w:hAnsi="Arial" w:cs="Arial"/>
          <w:szCs w:val="24"/>
          <w:lang w:val="es-ES"/>
        </w:rPr>
        <w:t xml:space="preserve">que, al rechazar su solicitud por motivos relacionados con la imposibilidad técnica de modificar </w:t>
      </w:r>
      <w:r w:rsidRPr="004F56D0">
        <w:rPr>
          <w:rFonts w:ascii="Arial" w:hAnsi="Arial" w:cs="Arial"/>
          <w:szCs w:val="24"/>
          <w:lang w:val="es-ES"/>
        </w:rPr>
        <w:lastRenderedPageBreak/>
        <w:t>las indicaciones inscritas en el registro HFC, la Comisión había infringido la sentencia señalada</w:t>
      </w:r>
      <w:r w:rsidRPr="004F56D0">
        <w:rPr>
          <w:rStyle w:val="Refdenotaalpie"/>
          <w:rFonts w:ascii="Arial" w:hAnsi="Arial" w:cs="Arial"/>
          <w:szCs w:val="24"/>
          <w:shd w:val="clear" w:color="auto" w:fill="FFFFFF"/>
        </w:rPr>
        <w:footnoteReference w:id="14"/>
      </w:r>
      <w:r w:rsidRPr="004F56D0">
        <w:rPr>
          <w:rFonts w:ascii="Arial" w:eastAsia="Times New Roman" w:hAnsi="Arial" w:cs="Arial"/>
          <w:szCs w:val="24"/>
          <w:lang w:val="es-ES" w:eastAsia="es-ES"/>
        </w:rPr>
        <w:t>.</w:t>
      </w:r>
      <w:r w:rsidRPr="004F56D0">
        <w:rPr>
          <w:rFonts w:ascii="Arial" w:hAnsi="Arial" w:cs="Arial"/>
          <w:szCs w:val="24"/>
          <w:lang w:val="es-ES"/>
        </w:rPr>
        <w:t xml:space="preserve"> El Tribunal rechazó la pertinencia de ambos motivos</w:t>
      </w:r>
      <w:r>
        <w:rPr>
          <w:rFonts w:ascii="Arial" w:hAnsi="Arial" w:cs="Arial"/>
          <w:szCs w:val="24"/>
          <w:lang w:val="es-ES"/>
        </w:rPr>
        <w:t>.</w:t>
      </w:r>
    </w:p>
    <w:p w14:paraId="45ECD23B" w14:textId="4C59A7C9" w:rsidR="00510D41" w:rsidRDefault="00510D41" w:rsidP="00510D41">
      <w:pPr>
        <w:rPr>
          <w:rFonts w:ascii="Arial" w:hAnsi="Arial" w:cs="Arial"/>
          <w:b/>
          <w:szCs w:val="24"/>
          <w:lang w:val="es-ES"/>
        </w:rPr>
      </w:pPr>
      <w:r>
        <w:rPr>
          <w:rFonts w:ascii="Arial" w:hAnsi="Arial" w:cs="Arial"/>
          <w:b/>
          <w:bCs/>
          <w:szCs w:val="24"/>
          <w:lang w:val="es-ES"/>
        </w:rPr>
        <w:t xml:space="preserve">4. </w:t>
      </w:r>
      <w:r w:rsidR="001D3552">
        <w:rPr>
          <w:rFonts w:ascii="Arial" w:hAnsi="Arial" w:cs="Arial"/>
          <w:b/>
          <w:bCs/>
          <w:szCs w:val="24"/>
          <w:lang w:val="es-ES"/>
        </w:rPr>
        <w:t>C</w:t>
      </w:r>
      <w:r w:rsidR="001D3552" w:rsidRPr="004F56D0">
        <w:rPr>
          <w:rFonts w:ascii="Arial" w:hAnsi="Arial" w:cs="Arial"/>
          <w:b/>
          <w:szCs w:val="24"/>
          <w:lang w:val="es-ES"/>
        </w:rPr>
        <w:t>UESTIONES PREJUDICIALES</w:t>
      </w:r>
    </w:p>
    <w:p w14:paraId="2686AC1A" w14:textId="1FA499FC" w:rsidR="001D3552" w:rsidRDefault="001D3552" w:rsidP="00510D41">
      <w:pPr>
        <w:rPr>
          <w:rFonts w:ascii="Arial" w:hAnsi="Arial" w:cs="Arial"/>
          <w:b/>
          <w:szCs w:val="24"/>
          <w:lang w:val="es-ES"/>
        </w:rPr>
      </w:pPr>
      <w:r>
        <w:rPr>
          <w:rFonts w:ascii="Arial" w:hAnsi="Arial" w:cs="Arial"/>
          <w:b/>
          <w:szCs w:val="24"/>
          <w:lang w:val="es-ES"/>
        </w:rPr>
        <w:t xml:space="preserve">4.1. </w:t>
      </w:r>
      <w:r w:rsidR="00050D92">
        <w:rPr>
          <w:rFonts w:ascii="Arial" w:hAnsi="Arial" w:cs="Arial"/>
          <w:b/>
          <w:szCs w:val="24"/>
          <w:lang w:val="es-ES"/>
        </w:rPr>
        <w:t xml:space="preserve">Aguas </w:t>
      </w:r>
    </w:p>
    <w:p w14:paraId="08B409EE" w14:textId="79858F6E" w:rsidR="00050D92" w:rsidRDefault="00041335" w:rsidP="00510D41">
      <w:pPr>
        <w:rPr>
          <w:rFonts w:ascii="Arial" w:hAnsi="Arial" w:cs="Arial"/>
          <w:szCs w:val="24"/>
          <w:lang w:val="es-ES"/>
        </w:rPr>
      </w:pPr>
      <w:r w:rsidRPr="004F56D0">
        <w:rPr>
          <w:rFonts w:ascii="Arial" w:hAnsi="Arial" w:cs="Arial"/>
          <w:szCs w:val="24"/>
          <w:lang w:val="es-ES" w:eastAsia="es-ES"/>
        </w:rPr>
        <w:t xml:space="preserve">En el periodo comprendido en la presente crónica, el Tribunal de Justicia resolvió una cuestión prejudicial relativa a la normativa europea en </w:t>
      </w:r>
      <w:r w:rsidRPr="004F56D0">
        <w:rPr>
          <w:rFonts w:ascii="Arial" w:hAnsi="Arial" w:cs="Arial"/>
          <w:color w:val="000000"/>
          <w:szCs w:val="24"/>
          <w:lang w:val="es-ES"/>
        </w:rPr>
        <w:t>el ámbito de la política de aguas</w:t>
      </w:r>
      <w:r w:rsidRPr="004F56D0">
        <w:rPr>
          <w:rFonts w:ascii="Arial" w:hAnsi="Arial" w:cs="Arial"/>
          <w:szCs w:val="24"/>
          <w:lang w:val="es-ES"/>
        </w:rPr>
        <w:t xml:space="preserve">. La </w:t>
      </w:r>
      <w:r w:rsidRPr="004F56D0">
        <w:rPr>
          <w:rFonts w:ascii="Arial" w:hAnsi="Arial" w:cs="Arial"/>
          <w:szCs w:val="24"/>
          <w:lang w:val="es-ES" w:eastAsia="es-ES"/>
        </w:rPr>
        <w:t>Sentencia del Tribunal de Justicia (Sala Segunda), de 5 de mayo</w:t>
      </w:r>
      <w:r w:rsidRPr="004F56D0">
        <w:rPr>
          <w:rStyle w:val="Textoennegrita"/>
          <w:rFonts w:ascii="Arial" w:hAnsi="Arial" w:cs="Arial"/>
          <w:b w:val="0"/>
          <w:szCs w:val="24"/>
          <w:shd w:val="clear" w:color="auto" w:fill="FDFDFD"/>
          <w:lang w:val="es-ES"/>
        </w:rPr>
        <w:t xml:space="preserve"> de 2022</w:t>
      </w:r>
      <w:r w:rsidRPr="004F56D0">
        <w:rPr>
          <w:rFonts w:ascii="Arial" w:hAnsi="Arial" w:cs="Arial"/>
          <w:szCs w:val="24"/>
          <w:lang w:val="es-ES" w:eastAsia="es-ES"/>
        </w:rPr>
        <w:t xml:space="preserve">, as. </w:t>
      </w:r>
      <w:r w:rsidRPr="004F56D0">
        <w:rPr>
          <w:rFonts w:ascii="Arial" w:hAnsi="Arial" w:cs="Arial"/>
          <w:color w:val="000000"/>
          <w:szCs w:val="24"/>
          <w:lang w:val="es-ES"/>
        </w:rPr>
        <w:t>C</w:t>
      </w:r>
      <w:r w:rsidRPr="004F56D0">
        <w:rPr>
          <w:rFonts w:ascii="Arial" w:hAnsi="Arial" w:cs="Arial"/>
          <w:color w:val="000000"/>
          <w:szCs w:val="24"/>
          <w:lang w:val="es-ES"/>
        </w:rPr>
        <w:noBreakHyphen/>
        <w:t>525/20</w:t>
      </w:r>
      <w:r w:rsidRPr="004F56D0">
        <w:rPr>
          <w:rFonts w:ascii="Arial" w:hAnsi="Arial" w:cs="Arial"/>
          <w:szCs w:val="24"/>
          <w:lang w:val="es-ES" w:eastAsia="es-ES"/>
        </w:rPr>
        <w:t xml:space="preserve">, </w:t>
      </w:r>
      <w:proofErr w:type="spellStart"/>
      <w:r w:rsidRPr="004F56D0">
        <w:rPr>
          <w:rFonts w:ascii="Arial" w:hAnsi="Arial" w:cs="Arial"/>
          <w:color w:val="000000"/>
          <w:szCs w:val="24"/>
          <w:lang w:val="es-ES"/>
        </w:rPr>
        <w:t>Association</w:t>
      </w:r>
      <w:proofErr w:type="spellEnd"/>
      <w:r w:rsidRPr="004F56D0">
        <w:rPr>
          <w:rFonts w:ascii="Arial" w:hAnsi="Arial" w:cs="Arial"/>
          <w:color w:val="000000"/>
          <w:szCs w:val="24"/>
          <w:lang w:val="es-ES"/>
        </w:rPr>
        <w:t xml:space="preserve"> France </w:t>
      </w:r>
      <w:proofErr w:type="spellStart"/>
      <w:r w:rsidRPr="004F56D0">
        <w:rPr>
          <w:rFonts w:ascii="Arial" w:hAnsi="Arial" w:cs="Arial"/>
          <w:color w:val="000000"/>
          <w:szCs w:val="24"/>
          <w:lang w:val="es-ES"/>
        </w:rPr>
        <w:t>Nature</w:t>
      </w:r>
      <w:proofErr w:type="spellEnd"/>
      <w:r w:rsidRPr="004F56D0">
        <w:rPr>
          <w:rFonts w:ascii="Arial" w:hAnsi="Arial" w:cs="Arial"/>
          <w:color w:val="000000"/>
          <w:szCs w:val="24"/>
          <w:lang w:val="es-ES"/>
        </w:rPr>
        <w:t xml:space="preserve"> </w:t>
      </w:r>
      <w:proofErr w:type="spellStart"/>
      <w:r w:rsidRPr="004F56D0">
        <w:rPr>
          <w:rFonts w:ascii="Arial" w:hAnsi="Arial" w:cs="Arial"/>
          <w:color w:val="000000"/>
          <w:szCs w:val="24"/>
          <w:lang w:val="es-ES"/>
        </w:rPr>
        <w:t>Environnement</w:t>
      </w:r>
      <w:proofErr w:type="spellEnd"/>
      <w:r w:rsidRPr="004F56D0">
        <w:rPr>
          <w:rFonts w:ascii="Arial" w:hAnsi="Arial" w:cs="Arial"/>
          <w:color w:val="000000"/>
          <w:szCs w:val="24"/>
          <w:lang w:val="es-ES"/>
        </w:rPr>
        <w:t xml:space="preserve"> contra </w:t>
      </w:r>
      <w:proofErr w:type="gramStart"/>
      <w:r w:rsidRPr="004F56D0">
        <w:rPr>
          <w:rFonts w:ascii="Arial" w:hAnsi="Arial" w:cs="Arial"/>
          <w:color w:val="000000"/>
          <w:szCs w:val="24"/>
          <w:lang w:val="es-ES"/>
        </w:rPr>
        <w:t>Primer Ministro</w:t>
      </w:r>
      <w:proofErr w:type="gramEnd"/>
      <w:r w:rsidRPr="004F56D0">
        <w:rPr>
          <w:rFonts w:ascii="Arial" w:hAnsi="Arial" w:cs="Arial"/>
          <w:color w:val="000000"/>
          <w:szCs w:val="24"/>
          <w:lang w:val="es-ES"/>
        </w:rPr>
        <w:t xml:space="preserve"> de Francia y Ministra de Transición Ecológica y Solidaria</w:t>
      </w:r>
      <w:r w:rsidRPr="004F56D0">
        <w:rPr>
          <w:rFonts w:ascii="Arial" w:hAnsi="Arial" w:cs="Arial"/>
          <w:color w:val="000000"/>
          <w:szCs w:val="24"/>
          <w:lang w:val="es-ES" w:eastAsia="es-ES"/>
        </w:rPr>
        <w:t xml:space="preserve">, </w:t>
      </w:r>
      <w:r w:rsidRPr="004F56D0">
        <w:rPr>
          <w:rFonts w:ascii="Arial" w:hAnsi="Arial" w:cs="Arial"/>
          <w:szCs w:val="24"/>
          <w:shd w:val="clear" w:color="auto" w:fill="FFFFFF"/>
          <w:lang w:val="es-ES"/>
        </w:rPr>
        <w:t>resolvió una pregunta planteada por el C</w:t>
      </w:r>
      <w:r w:rsidRPr="004F56D0">
        <w:rPr>
          <w:rFonts w:ascii="Arial" w:hAnsi="Arial" w:cs="Arial"/>
          <w:color w:val="000000"/>
          <w:szCs w:val="24"/>
          <w:lang w:val="es-ES"/>
        </w:rPr>
        <w:t xml:space="preserve">onsejo de Estado de Francia, actuando como Tribunal Supremo de lo Contencioso-Administrativo, </w:t>
      </w:r>
      <w:r w:rsidRPr="004F56D0">
        <w:rPr>
          <w:rFonts w:ascii="Arial" w:hAnsi="Arial" w:cs="Arial"/>
          <w:szCs w:val="24"/>
          <w:shd w:val="clear" w:color="auto" w:fill="FFFFFF"/>
          <w:lang w:val="es-ES"/>
        </w:rPr>
        <w:t xml:space="preserve">sobre la interpretación </w:t>
      </w:r>
      <w:r w:rsidRPr="004F56D0">
        <w:rPr>
          <w:rFonts w:ascii="Arial" w:hAnsi="Arial" w:cs="Arial"/>
          <w:color w:val="000000"/>
          <w:szCs w:val="24"/>
          <w:lang w:val="es-ES"/>
        </w:rPr>
        <w:t>del artículo 4 de la Directiva marco del agua, de 23 de octubre de 2000</w:t>
      </w:r>
      <w:r w:rsidRPr="004F56D0">
        <w:rPr>
          <w:rStyle w:val="Refdenotaalpie"/>
          <w:rFonts w:ascii="Arial" w:hAnsi="Arial" w:cs="Arial"/>
          <w:bCs/>
          <w:szCs w:val="24"/>
          <w:shd w:val="clear" w:color="auto" w:fill="FFFFFF"/>
        </w:rPr>
        <w:footnoteReference w:id="15"/>
      </w:r>
      <w:r w:rsidRPr="004F56D0">
        <w:rPr>
          <w:rFonts w:ascii="Arial" w:hAnsi="Arial" w:cs="Arial"/>
          <w:bCs/>
          <w:szCs w:val="24"/>
          <w:shd w:val="clear" w:color="auto" w:fill="FFFFFF"/>
          <w:lang w:val="es-ES"/>
        </w:rPr>
        <w:t>. En el litigio</w:t>
      </w:r>
      <w:r w:rsidR="004A302D">
        <w:rPr>
          <w:rFonts w:ascii="Arial" w:hAnsi="Arial" w:cs="Arial"/>
          <w:bCs/>
          <w:szCs w:val="24"/>
          <w:shd w:val="clear" w:color="auto" w:fill="FFFFFF"/>
          <w:lang w:val="es-ES"/>
        </w:rPr>
        <w:t xml:space="preserve"> </w:t>
      </w:r>
      <w:r w:rsidR="004A302D" w:rsidRPr="004F56D0">
        <w:rPr>
          <w:rFonts w:ascii="Arial" w:hAnsi="Arial" w:cs="Arial"/>
          <w:bCs/>
          <w:szCs w:val="24"/>
          <w:shd w:val="clear" w:color="auto" w:fill="FFFFFF"/>
          <w:lang w:val="es-ES"/>
        </w:rPr>
        <w:t xml:space="preserve">principal se cuestionó la </w:t>
      </w:r>
      <w:r w:rsidR="004A302D" w:rsidRPr="004F56D0">
        <w:rPr>
          <w:rFonts w:ascii="Arial" w:hAnsi="Arial" w:cs="Arial"/>
          <w:color w:val="000000"/>
          <w:szCs w:val="24"/>
          <w:lang w:val="es-ES"/>
        </w:rPr>
        <w:t>legalidad de un decreto relativo a los planes rectores de ordenación y gestión de las aguas, y para su resolución el Consejo de Estado preguntó al Tribunal de Justicia si el artículo 4 de la Directiva permitía a los Estados no tener en cuenta las repercusiones temporales de corta duración sobre el estado del agua superficial al autorizar un programa o un proyecto, y si era así, las condiciones que tendrían que cumplir estos programas y proyectos</w:t>
      </w:r>
      <w:r w:rsidR="004A302D" w:rsidRPr="004F56D0">
        <w:rPr>
          <w:rStyle w:val="Refdenotaalpie"/>
          <w:rFonts w:ascii="Arial" w:hAnsi="Arial" w:cs="Arial"/>
          <w:szCs w:val="24"/>
          <w:shd w:val="clear" w:color="auto" w:fill="FFFFFF"/>
        </w:rPr>
        <w:footnoteReference w:id="16"/>
      </w:r>
      <w:r w:rsidR="004A302D" w:rsidRPr="004F56D0">
        <w:rPr>
          <w:rFonts w:ascii="Arial" w:hAnsi="Arial" w:cs="Arial"/>
          <w:szCs w:val="24"/>
          <w:lang w:val="es-ES"/>
        </w:rPr>
        <w:t>.</w:t>
      </w:r>
    </w:p>
    <w:p w14:paraId="13DC6C78" w14:textId="5EF0C0DD" w:rsidR="004307AF" w:rsidRPr="00050D92" w:rsidRDefault="002324B1" w:rsidP="00510D41">
      <w:pPr>
        <w:rPr>
          <w:rFonts w:ascii="Arial" w:hAnsi="Arial"/>
          <w:bCs/>
          <w:lang w:val="fr-FR"/>
        </w:rPr>
      </w:pPr>
      <w:r w:rsidRPr="004F56D0">
        <w:rPr>
          <w:rFonts w:ascii="Arial" w:hAnsi="Arial" w:cs="Arial"/>
          <w:szCs w:val="24"/>
          <w:lang w:val="es-ES"/>
        </w:rPr>
        <w:t>El Tribunal resolvió esta cuestión declarando que e</w:t>
      </w:r>
      <w:r w:rsidRPr="004F56D0">
        <w:rPr>
          <w:rFonts w:ascii="Arial" w:hAnsi="Arial" w:cs="Arial"/>
          <w:bCs/>
          <w:color w:val="000000"/>
          <w:szCs w:val="24"/>
          <w:lang w:val="es-ES"/>
        </w:rPr>
        <w:t>l artículo 4 de la Directiva</w:t>
      </w:r>
    </w:p>
    <w:sdt>
      <w:sdtPr>
        <w:rPr>
          <w:rFonts w:ascii="Arial" w:hAnsi="Arial"/>
          <w:lang w:val="fr-FR"/>
        </w:rPr>
        <w:id w:val="154740497"/>
        <w:placeholder>
          <w:docPart w:val="A70F4EEB55E64A41B9EB95A5BF8BA645"/>
        </w:placeholder>
      </w:sdtPr>
      <w:sdtEndPr/>
      <w:sdtContent>
        <w:p w14:paraId="1E4110FC" w14:textId="26E5FC0F" w:rsidR="00CB043D" w:rsidRPr="004F238B" w:rsidRDefault="00D70D6A" w:rsidP="004F238B">
          <w:pPr>
            <w:pStyle w:val="Cita"/>
            <w:rPr>
              <w:rFonts w:ascii="Arial" w:hAnsi="Arial"/>
              <w:lang w:val="fr-FR"/>
            </w:rPr>
          </w:pPr>
          <w:r w:rsidRPr="00D70D6A">
            <w:rPr>
              <w:rFonts w:ascii="Arial" w:hAnsi="Arial"/>
              <w:lang w:val="fr-FR"/>
            </w:rPr>
            <w:t>“</w:t>
          </w:r>
          <w:proofErr w:type="spellStart"/>
          <w:r w:rsidRPr="00D70D6A">
            <w:rPr>
              <w:rFonts w:ascii="Arial" w:hAnsi="Arial"/>
              <w:lang w:val="fr-FR"/>
            </w:rPr>
            <w:t>debe</w:t>
          </w:r>
          <w:proofErr w:type="spellEnd"/>
          <w:r w:rsidRPr="00D70D6A">
            <w:rPr>
              <w:rFonts w:ascii="Arial" w:hAnsi="Arial"/>
              <w:lang w:val="fr-FR"/>
            </w:rPr>
            <w:t xml:space="preserve"> </w:t>
          </w:r>
          <w:proofErr w:type="spellStart"/>
          <w:r w:rsidRPr="00D70D6A">
            <w:rPr>
              <w:rFonts w:ascii="Arial" w:hAnsi="Arial"/>
              <w:lang w:val="fr-FR"/>
            </w:rPr>
            <w:t>interpretarse</w:t>
          </w:r>
          <w:proofErr w:type="spellEnd"/>
          <w:r w:rsidRPr="00D70D6A">
            <w:rPr>
              <w:rFonts w:ascii="Arial" w:hAnsi="Arial"/>
              <w:lang w:val="fr-FR"/>
            </w:rPr>
            <w:t xml:space="preserve"> en el </w:t>
          </w:r>
          <w:proofErr w:type="spellStart"/>
          <w:r w:rsidRPr="00D70D6A">
            <w:rPr>
              <w:rFonts w:ascii="Arial" w:hAnsi="Arial"/>
              <w:lang w:val="fr-FR"/>
            </w:rPr>
            <w:t>sentido</w:t>
          </w:r>
          <w:proofErr w:type="spellEnd"/>
          <w:r w:rsidRPr="00D70D6A">
            <w:rPr>
              <w:rFonts w:ascii="Arial" w:hAnsi="Arial"/>
              <w:lang w:val="fr-FR"/>
            </w:rPr>
            <w:t xml:space="preserve"> de que no </w:t>
          </w:r>
          <w:proofErr w:type="spellStart"/>
          <w:r w:rsidRPr="00D70D6A">
            <w:rPr>
              <w:rFonts w:ascii="Arial" w:hAnsi="Arial"/>
              <w:lang w:val="fr-FR"/>
            </w:rPr>
            <w:t>permite</w:t>
          </w:r>
          <w:proofErr w:type="spellEnd"/>
          <w:r w:rsidRPr="00D70D6A">
            <w:rPr>
              <w:rFonts w:ascii="Arial" w:hAnsi="Arial"/>
              <w:lang w:val="fr-FR"/>
            </w:rPr>
            <w:t xml:space="preserve"> a los </w:t>
          </w:r>
          <w:proofErr w:type="spellStart"/>
          <w:r w:rsidRPr="00D70D6A">
            <w:rPr>
              <w:rFonts w:ascii="Arial" w:hAnsi="Arial"/>
              <w:lang w:val="fr-FR"/>
            </w:rPr>
            <w:t>Estados</w:t>
          </w:r>
          <w:proofErr w:type="spellEnd"/>
          <w:r w:rsidRPr="00D70D6A">
            <w:rPr>
              <w:rFonts w:ascii="Arial" w:hAnsi="Arial"/>
              <w:lang w:val="fr-FR"/>
            </w:rPr>
            <w:t xml:space="preserve"> </w:t>
          </w:r>
          <w:proofErr w:type="spellStart"/>
          <w:r w:rsidRPr="00D70D6A">
            <w:rPr>
              <w:rFonts w:ascii="Arial" w:hAnsi="Arial"/>
              <w:lang w:val="fr-FR"/>
            </w:rPr>
            <w:t>miembros</w:t>
          </w:r>
          <w:proofErr w:type="spellEnd"/>
          <w:r w:rsidRPr="00D70D6A">
            <w:rPr>
              <w:rFonts w:ascii="Arial" w:hAnsi="Arial"/>
              <w:lang w:val="fr-FR"/>
            </w:rPr>
            <w:t xml:space="preserve">, al </w:t>
          </w:r>
          <w:proofErr w:type="spellStart"/>
          <w:r w:rsidRPr="00D70D6A">
            <w:rPr>
              <w:rFonts w:ascii="Arial" w:hAnsi="Arial"/>
              <w:lang w:val="fr-FR"/>
            </w:rPr>
            <w:t>apreciar</w:t>
          </w:r>
          <w:proofErr w:type="spellEnd"/>
          <w:r w:rsidRPr="00D70D6A">
            <w:rPr>
              <w:rFonts w:ascii="Arial" w:hAnsi="Arial"/>
              <w:lang w:val="fr-FR"/>
            </w:rPr>
            <w:t xml:space="preserve"> la </w:t>
          </w:r>
          <w:proofErr w:type="spellStart"/>
          <w:r w:rsidRPr="00D70D6A">
            <w:rPr>
              <w:rFonts w:ascii="Arial" w:hAnsi="Arial"/>
              <w:lang w:val="fr-FR"/>
            </w:rPr>
            <w:t>compatibilidad</w:t>
          </w:r>
          <w:proofErr w:type="spellEnd"/>
          <w:r w:rsidRPr="00D70D6A">
            <w:rPr>
              <w:rFonts w:ascii="Arial" w:hAnsi="Arial"/>
              <w:lang w:val="fr-FR"/>
            </w:rPr>
            <w:t xml:space="preserve"> de un </w:t>
          </w:r>
          <w:proofErr w:type="spellStart"/>
          <w:r w:rsidRPr="00D70D6A">
            <w:rPr>
              <w:rFonts w:ascii="Arial" w:hAnsi="Arial"/>
              <w:lang w:val="fr-FR"/>
            </w:rPr>
            <w:t>programa</w:t>
          </w:r>
          <w:proofErr w:type="spellEnd"/>
          <w:r w:rsidRPr="00D70D6A">
            <w:rPr>
              <w:rFonts w:ascii="Arial" w:hAnsi="Arial"/>
              <w:lang w:val="fr-FR"/>
            </w:rPr>
            <w:t xml:space="preserve"> o de un </w:t>
          </w:r>
          <w:proofErr w:type="spellStart"/>
          <w:r w:rsidRPr="00D70D6A">
            <w:rPr>
              <w:rFonts w:ascii="Arial" w:hAnsi="Arial"/>
              <w:lang w:val="fr-FR"/>
            </w:rPr>
            <w:t>proyecto</w:t>
          </w:r>
          <w:proofErr w:type="spellEnd"/>
          <w:r w:rsidRPr="00D70D6A">
            <w:rPr>
              <w:rFonts w:ascii="Arial" w:hAnsi="Arial"/>
              <w:lang w:val="fr-FR"/>
            </w:rPr>
            <w:t xml:space="preserve"> </w:t>
          </w:r>
          <w:proofErr w:type="spellStart"/>
          <w:proofErr w:type="gramStart"/>
          <w:r w:rsidRPr="00D70D6A">
            <w:rPr>
              <w:rFonts w:ascii="Arial" w:hAnsi="Arial"/>
              <w:lang w:val="fr-FR"/>
            </w:rPr>
            <w:t>concreto</w:t>
          </w:r>
          <w:proofErr w:type="spellEnd"/>
          <w:proofErr w:type="gramEnd"/>
          <w:r w:rsidRPr="00D70D6A">
            <w:rPr>
              <w:rFonts w:ascii="Arial" w:hAnsi="Arial"/>
              <w:lang w:val="fr-FR"/>
            </w:rPr>
            <w:t xml:space="preserve"> con el </w:t>
          </w:r>
          <w:proofErr w:type="spellStart"/>
          <w:r w:rsidRPr="00D70D6A">
            <w:rPr>
              <w:rFonts w:ascii="Arial" w:hAnsi="Arial"/>
              <w:lang w:val="fr-FR"/>
            </w:rPr>
            <w:t>objetivo</w:t>
          </w:r>
          <w:proofErr w:type="spellEnd"/>
          <w:r w:rsidRPr="00D70D6A">
            <w:rPr>
              <w:rFonts w:ascii="Arial" w:hAnsi="Arial"/>
              <w:lang w:val="fr-FR"/>
            </w:rPr>
            <w:t xml:space="preserve"> de </w:t>
          </w:r>
          <w:proofErr w:type="spellStart"/>
          <w:r w:rsidRPr="00D70D6A">
            <w:rPr>
              <w:rFonts w:ascii="Arial" w:hAnsi="Arial"/>
              <w:lang w:val="fr-FR"/>
            </w:rPr>
            <w:t>prevenir</w:t>
          </w:r>
          <w:proofErr w:type="spellEnd"/>
          <w:r w:rsidRPr="00D70D6A">
            <w:rPr>
              <w:rFonts w:ascii="Arial" w:hAnsi="Arial"/>
              <w:lang w:val="fr-FR"/>
            </w:rPr>
            <w:t xml:space="preserve"> el </w:t>
          </w:r>
          <w:proofErr w:type="spellStart"/>
          <w:r w:rsidRPr="00D70D6A">
            <w:rPr>
              <w:rFonts w:ascii="Arial" w:hAnsi="Arial"/>
              <w:lang w:val="fr-FR"/>
            </w:rPr>
            <w:t>deterioro</w:t>
          </w:r>
          <w:proofErr w:type="spellEnd"/>
          <w:r w:rsidRPr="00D70D6A">
            <w:rPr>
              <w:rFonts w:ascii="Arial" w:hAnsi="Arial"/>
              <w:lang w:val="fr-FR"/>
            </w:rPr>
            <w:t xml:space="preserve"> de la </w:t>
          </w:r>
          <w:proofErr w:type="spellStart"/>
          <w:r w:rsidRPr="00D70D6A">
            <w:rPr>
              <w:rFonts w:ascii="Arial" w:hAnsi="Arial"/>
              <w:lang w:val="fr-FR"/>
            </w:rPr>
            <w:t>calidad</w:t>
          </w:r>
          <w:proofErr w:type="spellEnd"/>
          <w:r w:rsidRPr="00D70D6A">
            <w:rPr>
              <w:rFonts w:ascii="Arial" w:hAnsi="Arial"/>
              <w:lang w:val="fr-FR"/>
            </w:rPr>
            <w:t xml:space="preserve"> de las </w:t>
          </w:r>
          <w:proofErr w:type="spellStart"/>
          <w:r w:rsidRPr="00D70D6A">
            <w:rPr>
              <w:rFonts w:ascii="Arial" w:hAnsi="Arial"/>
              <w:lang w:val="fr-FR"/>
            </w:rPr>
            <w:t>aguas</w:t>
          </w:r>
          <w:proofErr w:type="spellEnd"/>
          <w:r w:rsidRPr="00D70D6A">
            <w:rPr>
              <w:rFonts w:ascii="Arial" w:hAnsi="Arial"/>
              <w:lang w:val="fr-FR"/>
            </w:rPr>
            <w:t xml:space="preserve">, no </w:t>
          </w:r>
          <w:proofErr w:type="spellStart"/>
          <w:r w:rsidRPr="00D70D6A">
            <w:rPr>
              <w:rFonts w:ascii="Arial" w:hAnsi="Arial"/>
              <w:lang w:val="fr-FR"/>
            </w:rPr>
            <w:t>tener</w:t>
          </w:r>
          <w:proofErr w:type="spellEnd"/>
          <w:r w:rsidRPr="00D70D6A">
            <w:rPr>
              <w:rFonts w:ascii="Arial" w:hAnsi="Arial"/>
              <w:lang w:val="fr-FR"/>
            </w:rPr>
            <w:t xml:space="preserve"> en </w:t>
          </w:r>
          <w:proofErr w:type="spellStart"/>
          <w:r w:rsidRPr="00D70D6A">
            <w:rPr>
              <w:rFonts w:ascii="Arial" w:hAnsi="Arial"/>
              <w:lang w:val="fr-FR"/>
            </w:rPr>
            <w:t>cuenta</w:t>
          </w:r>
          <w:proofErr w:type="spellEnd"/>
          <w:r w:rsidRPr="00D70D6A">
            <w:rPr>
              <w:rFonts w:ascii="Arial" w:hAnsi="Arial"/>
              <w:lang w:val="fr-FR"/>
            </w:rPr>
            <w:t xml:space="preserve"> las </w:t>
          </w:r>
          <w:proofErr w:type="spellStart"/>
          <w:r w:rsidRPr="00D70D6A">
            <w:rPr>
              <w:rFonts w:ascii="Arial" w:hAnsi="Arial"/>
              <w:lang w:val="fr-FR"/>
            </w:rPr>
            <w:t>repercusiones</w:t>
          </w:r>
          <w:proofErr w:type="spellEnd"/>
          <w:r w:rsidRPr="00D70D6A">
            <w:rPr>
              <w:rFonts w:ascii="Arial" w:hAnsi="Arial"/>
              <w:lang w:val="fr-FR"/>
            </w:rPr>
            <w:t xml:space="preserve"> temporales de </w:t>
          </w:r>
          <w:proofErr w:type="spellStart"/>
          <w:r w:rsidRPr="00D70D6A">
            <w:rPr>
              <w:rFonts w:ascii="Arial" w:hAnsi="Arial"/>
              <w:lang w:val="fr-FR"/>
            </w:rPr>
            <w:t>corta</w:t>
          </w:r>
          <w:proofErr w:type="spellEnd"/>
          <w:r w:rsidRPr="00D70D6A">
            <w:rPr>
              <w:rFonts w:ascii="Arial" w:hAnsi="Arial"/>
              <w:lang w:val="fr-FR"/>
            </w:rPr>
            <w:t xml:space="preserve"> </w:t>
          </w:r>
          <w:proofErr w:type="spellStart"/>
          <w:r w:rsidRPr="00D70D6A">
            <w:rPr>
              <w:rFonts w:ascii="Arial" w:hAnsi="Arial"/>
              <w:lang w:val="fr-FR"/>
            </w:rPr>
            <w:t>duración</w:t>
          </w:r>
          <w:proofErr w:type="spellEnd"/>
          <w:r w:rsidRPr="00D70D6A">
            <w:rPr>
              <w:rFonts w:ascii="Arial" w:hAnsi="Arial"/>
              <w:lang w:val="fr-FR"/>
            </w:rPr>
            <w:t xml:space="preserve"> y sin </w:t>
          </w:r>
          <w:proofErr w:type="spellStart"/>
          <w:r w:rsidRPr="00D70D6A">
            <w:rPr>
              <w:rFonts w:ascii="Arial" w:hAnsi="Arial"/>
              <w:lang w:val="fr-FR"/>
            </w:rPr>
            <w:t>consecuencias</w:t>
          </w:r>
          <w:proofErr w:type="spellEnd"/>
          <w:r w:rsidRPr="00D70D6A">
            <w:rPr>
              <w:rFonts w:ascii="Arial" w:hAnsi="Arial"/>
              <w:lang w:val="fr-FR"/>
            </w:rPr>
            <w:t xml:space="preserve"> a largo </w:t>
          </w:r>
          <w:proofErr w:type="spellStart"/>
          <w:r w:rsidRPr="00D70D6A">
            <w:rPr>
              <w:rFonts w:ascii="Arial" w:hAnsi="Arial"/>
              <w:lang w:val="fr-FR"/>
            </w:rPr>
            <w:t>plazo</w:t>
          </w:r>
          <w:proofErr w:type="spellEnd"/>
          <w:r w:rsidRPr="00D70D6A">
            <w:rPr>
              <w:rFonts w:ascii="Arial" w:hAnsi="Arial"/>
              <w:lang w:val="fr-FR"/>
            </w:rPr>
            <w:t xml:space="preserve"> en </w:t>
          </w:r>
          <w:proofErr w:type="spellStart"/>
          <w:r w:rsidRPr="00D70D6A">
            <w:rPr>
              <w:rFonts w:ascii="Arial" w:hAnsi="Arial"/>
              <w:lang w:val="fr-FR"/>
            </w:rPr>
            <w:t>estas</w:t>
          </w:r>
          <w:proofErr w:type="spellEnd"/>
          <w:r w:rsidRPr="00D70D6A">
            <w:rPr>
              <w:rFonts w:ascii="Arial" w:hAnsi="Arial"/>
              <w:lang w:val="fr-FR"/>
            </w:rPr>
            <w:t xml:space="preserve">, a </w:t>
          </w:r>
          <w:proofErr w:type="spellStart"/>
          <w:r w:rsidRPr="00D70D6A">
            <w:rPr>
              <w:rFonts w:ascii="Arial" w:hAnsi="Arial"/>
              <w:lang w:val="fr-FR"/>
            </w:rPr>
            <w:t>menos</w:t>
          </w:r>
          <w:proofErr w:type="spellEnd"/>
          <w:r w:rsidRPr="00D70D6A">
            <w:rPr>
              <w:rFonts w:ascii="Arial" w:hAnsi="Arial"/>
              <w:lang w:val="fr-FR"/>
            </w:rPr>
            <w:t xml:space="preserve"> que </w:t>
          </w:r>
          <w:proofErr w:type="spellStart"/>
          <w:r w:rsidRPr="00D70D6A">
            <w:rPr>
              <w:rFonts w:ascii="Arial" w:hAnsi="Arial"/>
              <w:lang w:val="fr-FR"/>
            </w:rPr>
            <w:t>sea</w:t>
          </w:r>
          <w:proofErr w:type="spellEnd"/>
          <w:r w:rsidRPr="00D70D6A">
            <w:rPr>
              <w:rFonts w:ascii="Arial" w:hAnsi="Arial"/>
              <w:lang w:val="fr-FR"/>
            </w:rPr>
            <w:t xml:space="preserve"> </w:t>
          </w:r>
          <w:proofErr w:type="spellStart"/>
          <w:r w:rsidRPr="00D70D6A">
            <w:rPr>
              <w:rFonts w:ascii="Arial" w:hAnsi="Arial"/>
              <w:lang w:val="fr-FR"/>
            </w:rPr>
            <w:t>evidente</w:t>
          </w:r>
          <w:proofErr w:type="spellEnd"/>
          <w:r w:rsidRPr="00D70D6A">
            <w:rPr>
              <w:rFonts w:ascii="Arial" w:hAnsi="Arial"/>
              <w:lang w:val="fr-FR"/>
            </w:rPr>
            <w:t xml:space="preserve"> que tales </w:t>
          </w:r>
          <w:proofErr w:type="spellStart"/>
          <w:r w:rsidRPr="00D70D6A">
            <w:rPr>
              <w:rFonts w:ascii="Arial" w:hAnsi="Arial"/>
              <w:lang w:val="fr-FR"/>
            </w:rPr>
            <w:t>repercusiones</w:t>
          </w:r>
          <w:proofErr w:type="spellEnd"/>
          <w:r w:rsidRPr="00D70D6A">
            <w:rPr>
              <w:rFonts w:ascii="Arial" w:hAnsi="Arial"/>
              <w:lang w:val="fr-FR"/>
            </w:rPr>
            <w:t xml:space="preserve">, </w:t>
          </w:r>
          <w:proofErr w:type="spellStart"/>
          <w:r w:rsidRPr="00D70D6A">
            <w:rPr>
              <w:rFonts w:ascii="Arial" w:hAnsi="Arial"/>
              <w:lang w:val="fr-FR"/>
            </w:rPr>
            <w:t>por</w:t>
          </w:r>
          <w:proofErr w:type="spellEnd"/>
          <w:r w:rsidRPr="00D70D6A">
            <w:rPr>
              <w:rFonts w:ascii="Arial" w:hAnsi="Arial"/>
              <w:lang w:val="fr-FR"/>
            </w:rPr>
            <w:t xml:space="preserve"> su </w:t>
          </w:r>
          <w:proofErr w:type="spellStart"/>
          <w:r w:rsidRPr="00D70D6A">
            <w:rPr>
              <w:rFonts w:ascii="Arial" w:hAnsi="Arial"/>
              <w:lang w:val="fr-FR"/>
            </w:rPr>
            <w:t>naturaleza</w:t>
          </w:r>
          <w:proofErr w:type="spellEnd"/>
          <w:r w:rsidRPr="00D70D6A">
            <w:rPr>
              <w:rFonts w:ascii="Arial" w:hAnsi="Arial"/>
              <w:lang w:val="fr-FR"/>
            </w:rPr>
            <w:t xml:space="preserve">, </w:t>
          </w:r>
          <w:proofErr w:type="spellStart"/>
          <w:r w:rsidRPr="00D70D6A">
            <w:rPr>
              <w:rFonts w:ascii="Arial" w:hAnsi="Arial"/>
              <w:lang w:val="fr-FR"/>
            </w:rPr>
            <w:t>apenas</w:t>
          </w:r>
          <w:proofErr w:type="spellEnd"/>
          <w:r w:rsidRPr="00D70D6A">
            <w:rPr>
              <w:rFonts w:ascii="Arial" w:hAnsi="Arial"/>
              <w:lang w:val="fr-FR"/>
            </w:rPr>
            <w:t xml:space="preserve"> </w:t>
          </w:r>
          <w:proofErr w:type="spellStart"/>
          <w:r w:rsidRPr="00D70D6A">
            <w:rPr>
              <w:rFonts w:ascii="Arial" w:hAnsi="Arial"/>
              <w:lang w:val="fr-FR"/>
            </w:rPr>
            <w:t>tienen</w:t>
          </w:r>
          <w:proofErr w:type="spellEnd"/>
          <w:r w:rsidRPr="00D70D6A">
            <w:rPr>
              <w:rFonts w:ascii="Arial" w:hAnsi="Arial"/>
              <w:lang w:val="fr-FR"/>
            </w:rPr>
            <w:t xml:space="preserve"> </w:t>
          </w:r>
          <w:proofErr w:type="spellStart"/>
          <w:r w:rsidRPr="00D70D6A">
            <w:rPr>
              <w:rFonts w:ascii="Arial" w:hAnsi="Arial"/>
              <w:lang w:val="fr-FR"/>
            </w:rPr>
            <w:t>incidencia</w:t>
          </w:r>
          <w:proofErr w:type="spellEnd"/>
          <w:r w:rsidRPr="00D70D6A">
            <w:rPr>
              <w:rFonts w:ascii="Arial" w:hAnsi="Arial"/>
              <w:lang w:val="fr-FR"/>
            </w:rPr>
            <w:t xml:space="preserve"> sobre el </w:t>
          </w:r>
          <w:proofErr w:type="spellStart"/>
          <w:r w:rsidRPr="00D70D6A">
            <w:rPr>
              <w:rFonts w:ascii="Arial" w:hAnsi="Arial"/>
              <w:lang w:val="fr-FR"/>
            </w:rPr>
            <w:t>estado</w:t>
          </w:r>
          <w:proofErr w:type="spellEnd"/>
          <w:r w:rsidRPr="00D70D6A">
            <w:rPr>
              <w:rFonts w:ascii="Arial" w:hAnsi="Arial"/>
              <w:lang w:val="fr-FR"/>
            </w:rPr>
            <w:t xml:space="preserve"> de las </w:t>
          </w:r>
          <w:proofErr w:type="spellStart"/>
          <w:r w:rsidRPr="00D70D6A">
            <w:rPr>
              <w:rFonts w:ascii="Arial" w:hAnsi="Arial"/>
              <w:lang w:val="fr-FR"/>
            </w:rPr>
            <w:t>masas</w:t>
          </w:r>
          <w:proofErr w:type="spellEnd"/>
          <w:r w:rsidRPr="00D70D6A">
            <w:rPr>
              <w:rFonts w:ascii="Arial" w:hAnsi="Arial"/>
              <w:lang w:val="fr-FR"/>
            </w:rPr>
            <w:t xml:space="preserve"> de </w:t>
          </w:r>
          <w:proofErr w:type="spellStart"/>
          <w:r w:rsidRPr="00D70D6A">
            <w:rPr>
              <w:rFonts w:ascii="Arial" w:hAnsi="Arial"/>
              <w:lang w:val="fr-FR"/>
            </w:rPr>
            <w:t>agua</w:t>
          </w:r>
          <w:proofErr w:type="spellEnd"/>
          <w:r w:rsidRPr="00D70D6A">
            <w:rPr>
              <w:rFonts w:ascii="Arial" w:hAnsi="Arial"/>
              <w:lang w:val="fr-FR"/>
            </w:rPr>
            <w:t xml:space="preserve"> </w:t>
          </w:r>
          <w:proofErr w:type="spellStart"/>
          <w:r w:rsidRPr="00D70D6A">
            <w:rPr>
              <w:rFonts w:ascii="Arial" w:hAnsi="Arial"/>
              <w:lang w:val="fr-FR"/>
            </w:rPr>
            <w:t>afectadas</w:t>
          </w:r>
          <w:proofErr w:type="spellEnd"/>
          <w:r w:rsidRPr="00D70D6A">
            <w:rPr>
              <w:rFonts w:ascii="Arial" w:hAnsi="Arial"/>
              <w:lang w:val="fr-FR"/>
            </w:rPr>
            <w:t xml:space="preserve"> y no </w:t>
          </w:r>
          <w:proofErr w:type="spellStart"/>
          <w:r w:rsidRPr="00D70D6A">
            <w:rPr>
              <w:rFonts w:ascii="Arial" w:hAnsi="Arial"/>
              <w:lang w:val="fr-FR"/>
            </w:rPr>
            <w:t>pueden</w:t>
          </w:r>
          <w:proofErr w:type="spellEnd"/>
          <w:r w:rsidRPr="00D70D6A">
            <w:rPr>
              <w:rFonts w:ascii="Arial" w:hAnsi="Arial"/>
              <w:lang w:val="fr-FR"/>
            </w:rPr>
            <w:t xml:space="preserve"> </w:t>
          </w:r>
          <w:proofErr w:type="spellStart"/>
          <w:r w:rsidRPr="00D70D6A">
            <w:rPr>
              <w:rFonts w:ascii="Arial" w:hAnsi="Arial"/>
              <w:lang w:val="fr-FR"/>
            </w:rPr>
            <w:t>implicar</w:t>
          </w:r>
          <w:proofErr w:type="spellEnd"/>
          <w:r w:rsidRPr="00D70D6A">
            <w:rPr>
              <w:rFonts w:ascii="Arial" w:hAnsi="Arial"/>
              <w:lang w:val="fr-FR"/>
            </w:rPr>
            <w:t xml:space="preserve"> su «</w:t>
          </w:r>
          <w:proofErr w:type="spellStart"/>
          <w:r w:rsidRPr="00D70D6A">
            <w:rPr>
              <w:rFonts w:ascii="Arial" w:hAnsi="Arial"/>
              <w:lang w:val="fr-FR"/>
            </w:rPr>
            <w:t>deterioro</w:t>
          </w:r>
          <w:proofErr w:type="spellEnd"/>
          <w:r w:rsidRPr="00D70D6A">
            <w:rPr>
              <w:rFonts w:ascii="Arial" w:hAnsi="Arial"/>
              <w:lang w:val="fr-FR"/>
            </w:rPr>
            <w:t xml:space="preserve">», en el </w:t>
          </w:r>
          <w:proofErr w:type="spellStart"/>
          <w:r w:rsidRPr="00D70D6A">
            <w:rPr>
              <w:rFonts w:ascii="Arial" w:hAnsi="Arial"/>
              <w:lang w:val="fr-FR"/>
            </w:rPr>
            <w:t>sentido</w:t>
          </w:r>
          <w:proofErr w:type="spellEnd"/>
          <w:r w:rsidRPr="00D70D6A">
            <w:rPr>
              <w:rFonts w:ascii="Arial" w:hAnsi="Arial"/>
              <w:lang w:val="fr-FR"/>
            </w:rPr>
            <w:t xml:space="preserve"> de la </w:t>
          </w:r>
          <w:proofErr w:type="spellStart"/>
          <w:r w:rsidRPr="00D70D6A">
            <w:rPr>
              <w:rFonts w:ascii="Arial" w:hAnsi="Arial"/>
              <w:lang w:val="fr-FR"/>
            </w:rPr>
            <w:t>citada</w:t>
          </w:r>
          <w:proofErr w:type="spellEnd"/>
          <w:r w:rsidRPr="00D70D6A">
            <w:rPr>
              <w:rFonts w:ascii="Arial" w:hAnsi="Arial"/>
              <w:lang w:val="fr-FR"/>
            </w:rPr>
            <w:t xml:space="preserve"> </w:t>
          </w:r>
          <w:proofErr w:type="spellStart"/>
          <w:r w:rsidRPr="00D70D6A">
            <w:rPr>
              <w:rFonts w:ascii="Arial" w:hAnsi="Arial"/>
              <w:lang w:val="fr-FR"/>
            </w:rPr>
            <w:t>disposición</w:t>
          </w:r>
          <w:proofErr w:type="spellEnd"/>
          <w:r w:rsidRPr="00D70D6A">
            <w:rPr>
              <w:rFonts w:ascii="Arial" w:hAnsi="Arial"/>
              <w:lang w:val="fr-FR"/>
            </w:rPr>
            <w:t xml:space="preserve">. Cuando, en el </w:t>
          </w:r>
          <w:proofErr w:type="spellStart"/>
          <w:r w:rsidRPr="00D70D6A">
            <w:rPr>
              <w:rFonts w:ascii="Arial" w:hAnsi="Arial"/>
              <w:lang w:val="fr-FR"/>
            </w:rPr>
            <w:t>marco</w:t>
          </w:r>
          <w:proofErr w:type="spellEnd"/>
          <w:r w:rsidRPr="00D70D6A">
            <w:rPr>
              <w:rFonts w:ascii="Arial" w:hAnsi="Arial"/>
              <w:lang w:val="fr-FR"/>
            </w:rPr>
            <w:t xml:space="preserve"> </w:t>
          </w:r>
          <w:proofErr w:type="spellStart"/>
          <w:r w:rsidRPr="00D70D6A">
            <w:rPr>
              <w:rFonts w:ascii="Arial" w:hAnsi="Arial"/>
              <w:lang w:val="fr-FR"/>
            </w:rPr>
            <w:t>del</w:t>
          </w:r>
          <w:proofErr w:type="spellEnd"/>
          <w:r w:rsidRPr="00D70D6A">
            <w:rPr>
              <w:rFonts w:ascii="Arial" w:hAnsi="Arial"/>
              <w:lang w:val="fr-FR"/>
            </w:rPr>
            <w:t xml:space="preserve"> </w:t>
          </w:r>
          <w:proofErr w:type="spellStart"/>
          <w:r w:rsidRPr="00D70D6A">
            <w:rPr>
              <w:rFonts w:ascii="Arial" w:hAnsi="Arial"/>
              <w:lang w:val="fr-FR"/>
            </w:rPr>
            <w:t>procedimiento</w:t>
          </w:r>
          <w:proofErr w:type="spellEnd"/>
          <w:r w:rsidRPr="00D70D6A">
            <w:rPr>
              <w:rFonts w:ascii="Arial" w:hAnsi="Arial"/>
              <w:lang w:val="fr-FR"/>
            </w:rPr>
            <w:t xml:space="preserve"> de </w:t>
          </w:r>
          <w:proofErr w:type="spellStart"/>
          <w:r w:rsidRPr="00D70D6A">
            <w:rPr>
              <w:rFonts w:ascii="Arial" w:hAnsi="Arial"/>
              <w:lang w:val="fr-FR"/>
            </w:rPr>
            <w:t>autorización</w:t>
          </w:r>
          <w:proofErr w:type="spellEnd"/>
          <w:r w:rsidRPr="00D70D6A">
            <w:rPr>
              <w:rFonts w:ascii="Arial" w:hAnsi="Arial"/>
              <w:lang w:val="fr-FR"/>
            </w:rPr>
            <w:t xml:space="preserve"> </w:t>
          </w:r>
          <w:proofErr w:type="gramStart"/>
          <w:r w:rsidRPr="00D70D6A">
            <w:rPr>
              <w:rFonts w:ascii="Arial" w:hAnsi="Arial"/>
              <w:lang w:val="fr-FR"/>
            </w:rPr>
            <w:t>de un</w:t>
          </w:r>
          <w:proofErr w:type="gramEnd"/>
          <w:r w:rsidRPr="00D70D6A">
            <w:rPr>
              <w:rFonts w:ascii="Arial" w:hAnsi="Arial"/>
              <w:lang w:val="fr-FR"/>
            </w:rPr>
            <w:t xml:space="preserve"> </w:t>
          </w:r>
          <w:proofErr w:type="spellStart"/>
          <w:r w:rsidRPr="00D70D6A">
            <w:rPr>
              <w:rFonts w:ascii="Arial" w:hAnsi="Arial"/>
              <w:lang w:val="fr-FR"/>
            </w:rPr>
            <w:t>programa</w:t>
          </w:r>
          <w:proofErr w:type="spellEnd"/>
          <w:r w:rsidRPr="00D70D6A">
            <w:rPr>
              <w:rFonts w:ascii="Arial" w:hAnsi="Arial"/>
              <w:lang w:val="fr-FR"/>
            </w:rPr>
            <w:t xml:space="preserve"> o de un </w:t>
          </w:r>
          <w:proofErr w:type="spellStart"/>
          <w:r w:rsidRPr="00D70D6A">
            <w:rPr>
              <w:rFonts w:ascii="Arial" w:hAnsi="Arial"/>
              <w:lang w:val="fr-FR"/>
            </w:rPr>
            <w:t>proyecto</w:t>
          </w:r>
          <w:proofErr w:type="spellEnd"/>
          <w:r w:rsidRPr="00D70D6A">
            <w:rPr>
              <w:rFonts w:ascii="Arial" w:hAnsi="Arial"/>
              <w:lang w:val="fr-FR"/>
            </w:rPr>
            <w:t xml:space="preserve">, las </w:t>
          </w:r>
          <w:proofErr w:type="spellStart"/>
          <w:r w:rsidRPr="00D70D6A">
            <w:rPr>
              <w:rFonts w:ascii="Arial" w:hAnsi="Arial"/>
              <w:lang w:val="fr-FR"/>
            </w:rPr>
            <w:t>autoridades</w:t>
          </w:r>
          <w:proofErr w:type="spellEnd"/>
          <w:r w:rsidRPr="00D70D6A">
            <w:rPr>
              <w:rFonts w:ascii="Arial" w:hAnsi="Arial"/>
              <w:lang w:val="fr-FR"/>
            </w:rPr>
            <w:t xml:space="preserve"> </w:t>
          </w:r>
          <w:proofErr w:type="spellStart"/>
          <w:r w:rsidRPr="00D70D6A">
            <w:rPr>
              <w:rFonts w:ascii="Arial" w:hAnsi="Arial"/>
              <w:lang w:val="fr-FR"/>
            </w:rPr>
            <w:t>nacionales</w:t>
          </w:r>
          <w:proofErr w:type="spellEnd"/>
          <w:r w:rsidRPr="00D70D6A">
            <w:rPr>
              <w:rFonts w:ascii="Arial" w:hAnsi="Arial"/>
              <w:lang w:val="fr-FR"/>
            </w:rPr>
            <w:t xml:space="preserve"> </w:t>
          </w:r>
          <w:proofErr w:type="spellStart"/>
          <w:r w:rsidRPr="00D70D6A">
            <w:rPr>
              <w:rFonts w:ascii="Arial" w:hAnsi="Arial"/>
              <w:lang w:val="fr-FR"/>
            </w:rPr>
            <w:lastRenderedPageBreak/>
            <w:t>competentes</w:t>
          </w:r>
          <w:proofErr w:type="spellEnd"/>
          <w:r w:rsidRPr="00D70D6A">
            <w:rPr>
              <w:rFonts w:ascii="Arial" w:hAnsi="Arial"/>
              <w:lang w:val="fr-FR"/>
            </w:rPr>
            <w:t xml:space="preserve"> </w:t>
          </w:r>
          <w:proofErr w:type="spellStart"/>
          <w:r w:rsidRPr="00D70D6A">
            <w:rPr>
              <w:rFonts w:ascii="Arial" w:hAnsi="Arial"/>
              <w:lang w:val="fr-FR"/>
            </w:rPr>
            <w:t>determinan</w:t>
          </w:r>
          <w:proofErr w:type="spellEnd"/>
          <w:r w:rsidRPr="00D70D6A">
            <w:rPr>
              <w:rFonts w:ascii="Arial" w:hAnsi="Arial"/>
              <w:lang w:val="fr-FR"/>
            </w:rPr>
            <w:t xml:space="preserve"> que este </w:t>
          </w:r>
          <w:proofErr w:type="spellStart"/>
          <w:r w:rsidRPr="00D70D6A">
            <w:rPr>
              <w:rFonts w:ascii="Arial" w:hAnsi="Arial"/>
              <w:lang w:val="fr-FR"/>
            </w:rPr>
            <w:t>puede</w:t>
          </w:r>
          <w:proofErr w:type="spellEnd"/>
          <w:r w:rsidRPr="00D70D6A">
            <w:rPr>
              <w:rFonts w:ascii="Arial" w:hAnsi="Arial"/>
              <w:lang w:val="fr-FR"/>
            </w:rPr>
            <w:t xml:space="preserve"> </w:t>
          </w:r>
          <w:proofErr w:type="spellStart"/>
          <w:r w:rsidRPr="00D70D6A">
            <w:rPr>
              <w:rFonts w:ascii="Arial" w:hAnsi="Arial"/>
              <w:lang w:val="fr-FR"/>
            </w:rPr>
            <w:t>provocar</w:t>
          </w:r>
          <w:proofErr w:type="spellEnd"/>
          <w:r w:rsidRPr="00D70D6A">
            <w:rPr>
              <w:rFonts w:ascii="Arial" w:hAnsi="Arial"/>
              <w:lang w:val="fr-FR"/>
            </w:rPr>
            <w:t xml:space="preserve"> </w:t>
          </w:r>
          <w:proofErr w:type="spellStart"/>
          <w:r w:rsidRPr="00D70D6A">
            <w:rPr>
              <w:rFonts w:ascii="Arial" w:hAnsi="Arial"/>
              <w:lang w:val="fr-FR"/>
            </w:rPr>
            <w:t>tal</w:t>
          </w:r>
          <w:proofErr w:type="spellEnd"/>
          <w:r w:rsidRPr="00D70D6A">
            <w:rPr>
              <w:rFonts w:ascii="Arial" w:hAnsi="Arial"/>
              <w:lang w:val="fr-FR"/>
            </w:rPr>
            <w:t xml:space="preserve"> </w:t>
          </w:r>
          <w:proofErr w:type="spellStart"/>
          <w:r w:rsidRPr="00D70D6A">
            <w:rPr>
              <w:rFonts w:ascii="Arial" w:hAnsi="Arial"/>
              <w:lang w:val="fr-FR"/>
            </w:rPr>
            <w:t>deterioro</w:t>
          </w:r>
          <w:proofErr w:type="spellEnd"/>
          <w:r w:rsidRPr="00D70D6A">
            <w:rPr>
              <w:rFonts w:ascii="Arial" w:hAnsi="Arial"/>
              <w:lang w:val="fr-FR"/>
            </w:rPr>
            <w:t xml:space="preserve">, </w:t>
          </w:r>
          <w:proofErr w:type="spellStart"/>
          <w:r w:rsidRPr="00D70D6A">
            <w:rPr>
              <w:rFonts w:ascii="Arial" w:hAnsi="Arial"/>
              <w:lang w:val="fr-FR"/>
            </w:rPr>
            <w:t>dicho</w:t>
          </w:r>
          <w:proofErr w:type="spellEnd"/>
          <w:r w:rsidRPr="00D70D6A">
            <w:rPr>
              <w:rFonts w:ascii="Arial" w:hAnsi="Arial"/>
              <w:lang w:val="fr-FR"/>
            </w:rPr>
            <w:t xml:space="preserve"> </w:t>
          </w:r>
          <w:proofErr w:type="spellStart"/>
          <w:r w:rsidRPr="00D70D6A">
            <w:rPr>
              <w:rFonts w:ascii="Arial" w:hAnsi="Arial"/>
              <w:lang w:val="fr-FR"/>
            </w:rPr>
            <w:t>programa</w:t>
          </w:r>
          <w:proofErr w:type="spellEnd"/>
          <w:r w:rsidRPr="00D70D6A">
            <w:rPr>
              <w:rFonts w:ascii="Arial" w:hAnsi="Arial"/>
              <w:lang w:val="fr-FR"/>
            </w:rPr>
            <w:t xml:space="preserve"> o </w:t>
          </w:r>
          <w:proofErr w:type="spellStart"/>
          <w:r w:rsidRPr="00D70D6A">
            <w:rPr>
              <w:rFonts w:ascii="Arial" w:hAnsi="Arial"/>
              <w:lang w:val="fr-FR"/>
            </w:rPr>
            <w:t>proyecto</w:t>
          </w:r>
          <w:proofErr w:type="spellEnd"/>
          <w:r w:rsidRPr="00D70D6A">
            <w:rPr>
              <w:rFonts w:ascii="Arial" w:hAnsi="Arial"/>
              <w:lang w:val="fr-FR"/>
            </w:rPr>
            <w:t xml:space="preserve"> solo </w:t>
          </w:r>
          <w:proofErr w:type="spellStart"/>
          <w:r w:rsidRPr="00D70D6A">
            <w:rPr>
              <w:rFonts w:ascii="Arial" w:hAnsi="Arial"/>
              <w:lang w:val="fr-FR"/>
            </w:rPr>
            <w:t>puede</w:t>
          </w:r>
          <w:proofErr w:type="spellEnd"/>
          <w:r w:rsidRPr="00D70D6A">
            <w:rPr>
              <w:rFonts w:ascii="Arial" w:hAnsi="Arial"/>
              <w:lang w:val="fr-FR"/>
            </w:rPr>
            <w:t xml:space="preserve"> </w:t>
          </w:r>
          <w:proofErr w:type="spellStart"/>
          <w:r w:rsidRPr="00D70D6A">
            <w:rPr>
              <w:rFonts w:ascii="Arial" w:hAnsi="Arial"/>
              <w:lang w:val="fr-FR"/>
            </w:rPr>
            <w:t>ser</w:t>
          </w:r>
          <w:proofErr w:type="spellEnd"/>
          <w:r w:rsidRPr="00D70D6A">
            <w:rPr>
              <w:rFonts w:ascii="Arial" w:hAnsi="Arial"/>
              <w:lang w:val="fr-FR"/>
            </w:rPr>
            <w:t xml:space="preserve"> </w:t>
          </w:r>
          <w:proofErr w:type="spellStart"/>
          <w:r w:rsidRPr="00D70D6A">
            <w:rPr>
              <w:rFonts w:ascii="Arial" w:hAnsi="Arial"/>
              <w:lang w:val="fr-FR"/>
            </w:rPr>
            <w:t>autorizado</w:t>
          </w:r>
          <w:proofErr w:type="spellEnd"/>
          <w:r w:rsidRPr="00D70D6A">
            <w:rPr>
              <w:rFonts w:ascii="Arial" w:hAnsi="Arial"/>
              <w:lang w:val="fr-FR"/>
            </w:rPr>
            <w:t xml:space="preserve">, </w:t>
          </w:r>
          <w:proofErr w:type="spellStart"/>
          <w:r w:rsidRPr="00D70D6A">
            <w:rPr>
              <w:rFonts w:ascii="Arial" w:hAnsi="Arial"/>
              <w:lang w:val="fr-FR"/>
            </w:rPr>
            <w:t>aun</w:t>
          </w:r>
          <w:proofErr w:type="spellEnd"/>
          <w:r w:rsidRPr="00D70D6A">
            <w:rPr>
              <w:rFonts w:ascii="Arial" w:hAnsi="Arial"/>
              <w:lang w:val="fr-FR"/>
            </w:rPr>
            <w:t xml:space="preserve"> </w:t>
          </w:r>
          <w:proofErr w:type="spellStart"/>
          <w:r w:rsidRPr="00D70D6A">
            <w:rPr>
              <w:rFonts w:ascii="Arial" w:hAnsi="Arial"/>
              <w:lang w:val="fr-FR"/>
            </w:rPr>
            <w:t>cuando</w:t>
          </w:r>
          <w:proofErr w:type="spellEnd"/>
          <w:r w:rsidRPr="00D70D6A">
            <w:rPr>
              <w:rFonts w:ascii="Arial" w:hAnsi="Arial"/>
              <w:lang w:val="fr-FR"/>
            </w:rPr>
            <w:t xml:space="preserve"> el </w:t>
          </w:r>
          <w:proofErr w:type="spellStart"/>
          <w:r w:rsidRPr="00D70D6A">
            <w:rPr>
              <w:rFonts w:ascii="Arial" w:hAnsi="Arial"/>
              <w:lang w:val="fr-FR"/>
            </w:rPr>
            <w:t>deterioro</w:t>
          </w:r>
          <w:proofErr w:type="spellEnd"/>
          <w:r w:rsidRPr="00D70D6A">
            <w:rPr>
              <w:rFonts w:ascii="Arial" w:hAnsi="Arial"/>
              <w:lang w:val="fr-FR"/>
            </w:rPr>
            <w:t xml:space="preserve"> </w:t>
          </w:r>
          <w:proofErr w:type="spellStart"/>
          <w:r w:rsidRPr="00D70D6A">
            <w:rPr>
              <w:rFonts w:ascii="Arial" w:hAnsi="Arial"/>
              <w:lang w:val="fr-FR"/>
            </w:rPr>
            <w:t>sea</w:t>
          </w:r>
          <w:proofErr w:type="spellEnd"/>
          <w:r w:rsidRPr="00D70D6A">
            <w:rPr>
              <w:rFonts w:ascii="Arial" w:hAnsi="Arial"/>
              <w:lang w:val="fr-FR"/>
            </w:rPr>
            <w:t xml:space="preserve"> de </w:t>
          </w:r>
          <w:proofErr w:type="spellStart"/>
          <w:r w:rsidRPr="00D70D6A">
            <w:rPr>
              <w:rFonts w:ascii="Arial" w:hAnsi="Arial"/>
              <w:lang w:val="fr-FR"/>
            </w:rPr>
            <w:t>carácter</w:t>
          </w:r>
          <w:proofErr w:type="spellEnd"/>
          <w:r w:rsidRPr="00D70D6A">
            <w:rPr>
              <w:rFonts w:ascii="Arial" w:hAnsi="Arial"/>
              <w:lang w:val="fr-FR"/>
            </w:rPr>
            <w:t xml:space="preserve"> temporal, si se </w:t>
          </w:r>
          <w:proofErr w:type="spellStart"/>
          <w:r w:rsidRPr="00D70D6A">
            <w:rPr>
              <w:rFonts w:ascii="Arial" w:hAnsi="Arial"/>
              <w:lang w:val="fr-FR"/>
            </w:rPr>
            <w:t>cumplen</w:t>
          </w:r>
          <w:proofErr w:type="spellEnd"/>
          <w:r w:rsidRPr="00D70D6A">
            <w:rPr>
              <w:rFonts w:ascii="Arial" w:hAnsi="Arial"/>
              <w:lang w:val="fr-FR"/>
            </w:rPr>
            <w:t xml:space="preserve"> las </w:t>
          </w:r>
          <w:proofErr w:type="spellStart"/>
          <w:r w:rsidRPr="00D70D6A">
            <w:rPr>
              <w:rFonts w:ascii="Arial" w:hAnsi="Arial"/>
              <w:lang w:val="fr-FR"/>
            </w:rPr>
            <w:t>condiciones</w:t>
          </w:r>
          <w:proofErr w:type="spellEnd"/>
          <w:r w:rsidRPr="00D70D6A">
            <w:rPr>
              <w:rFonts w:ascii="Arial" w:hAnsi="Arial"/>
              <w:lang w:val="fr-FR"/>
            </w:rPr>
            <w:t xml:space="preserve"> </w:t>
          </w:r>
          <w:proofErr w:type="spellStart"/>
          <w:r w:rsidRPr="00D70D6A">
            <w:rPr>
              <w:rFonts w:ascii="Arial" w:hAnsi="Arial"/>
              <w:lang w:val="fr-FR"/>
            </w:rPr>
            <w:t>establecidas</w:t>
          </w:r>
          <w:proofErr w:type="spellEnd"/>
          <w:r w:rsidRPr="00D70D6A">
            <w:rPr>
              <w:rFonts w:ascii="Arial" w:hAnsi="Arial"/>
              <w:lang w:val="fr-FR"/>
            </w:rPr>
            <w:t xml:space="preserve"> en el </w:t>
          </w:r>
          <w:proofErr w:type="spellStart"/>
          <w:r w:rsidRPr="00D70D6A">
            <w:rPr>
              <w:rFonts w:ascii="Arial" w:hAnsi="Arial"/>
              <w:lang w:val="fr-FR"/>
            </w:rPr>
            <w:t>artículo</w:t>
          </w:r>
          <w:proofErr w:type="spellEnd"/>
          <w:r w:rsidRPr="00D70D6A">
            <w:rPr>
              <w:rFonts w:ascii="Arial" w:hAnsi="Arial"/>
              <w:lang w:val="fr-FR"/>
            </w:rPr>
            <w:t xml:space="preserve"> 4, </w:t>
          </w:r>
          <w:proofErr w:type="spellStart"/>
          <w:r w:rsidRPr="00D70D6A">
            <w:rPr>
              <w:rFonts w:ascii="Arial" w:hAnsi="Arial"/>
              <w:lang w:val="fr-FR"/>
            </w:rPr>
            <w:t>apartado</w:t>
          </w:r>
          <w:proofErr w:type="spellEnd"/>
          <w:r w:rsidRPr="00D70D6A">
            <w:rPr>
              <w:rFonts w:ascii="Arial" w:hAnsi="Arial"/>
              <w:lang w:val="fr-FR"/>
            </w:rPr>
            <w:t xml:space="preserve"> 7, de la </w:t>
          </w:r>
          <w:proofErr w:type="spellStart"/>
          <w:r w:rsidRPr="00D70D6A">
            <w:rPr>
              <w:rFonts w:ascii="Arial" w:hAnsi="Arial"/>
              <w:lang w:val="fr-FR"/>
            </w:rPr>
            <w:t>citada</w:t>
          </w:r>
          <w:proofErr w:type="spellEnd"/>
          <w:r w:rsidRPr="00D70D6A">
            <w:rPr>
              <w:rFonts w:ascii="Arial" w:hAnsi="Arial"/>
              <w:lang w:val="fr-FR"/>
            </w:rPr>
            <w:t xml:space="preserve"> </w:t>
          </w:r>
          <w:proofErr w:type="spellStart"/>
          <w:r w:rsidRPr="00D70D6A">
            <w:rPr>
              <w:rFonts w:ascii="Arial" w:hAnsi="Arial"/>
              <w:lang w:val="fr-FR"/>
            </w:rPr>
            <w:t>Directiva</w:t>
          </w:r>
          <w:proofErr w:type="spellEnd"/>
          <w:r w:rsidRPr="00D70D6A">
            <w:rPr>
              <w:rFonts w:ascii="Arial" w:hAnsi="Arial"/>
              <w:lang w:val="fr-FR"/>
            </w:rPr>
            <w:t>”.</w:t>
          </w:r>
        </w:p>
      </w:sdtContent>
    </w:sdt>
    <w:sdt>
      <w:sdtPr>
        <w:rPr>
          <w:rFonts w:ascii="Arial" w:eastAsiaTheme="minorEastAsia" w:hAnsi="Arial" w:cs="Times New Roman"/>
          <w:iCs/>
          <w:color w:val="000000" w:themeColor="text1"/>
          <w:sz w:val="22"/>
          <w:szCs w:val="24"/>
          <w:lang w:val="fr-FR" w:eastAsia="ja-JP"/>
        </w:rPr>
        <w:id w:val="-1141340396"/>
        <w:placeholder>
          <w:docPart w:val="B8F6DFD3443FF64FA58DF92C8CE9EDA1"/>
        </w:placeholder>
      </w:sdtPr>
      <w:sdtEndPr>
        <w:rPr>
          <w:iCs w:val="0"/>
        </w:rPr>
      </w:sdtEndPr>
      <w:sdtContent>
        <w:p w14:paraId="2408395E" w14:textId="77777777" w:rsidR="004F238B" w:rsidRDefault="00A13C73" w:rsidP="006127B4">
          <w:pPr>
            <w:rPr>
              <w:rFonts w:ascii="Arial" w:hAnsi="Arial" w:cs="Arial"/>
              <w:color w:val="000000"/>
              <w:szCs w:val="24"/>
              <w:lang w:val="es-ES"/>
            </w:rPr>
          </w:pPr>
          <w:r w:rsidRPr="004F56D0">
            <w:rPr>
              <w:rFonts w:ascii="Arial" w:hAnsi="Arial" w:cs="Arial"/>
              <w:bCs/>
              <w:color w:val="000000"/>
              <w:szCs w:val="24"/>
              <w:lang w:val="es-ES"/>
            </w:rPr>
            <w:t>La remisión al apartado 7 del precepto analizado resulta, por lo tanto, fundamental, ya que señala las condiciones que tendrían que cumplirse para la autorización del programa o proyecto. Respecto a estas condiciones, el Tribunal expresó algunas precisiones. En la sentencia puede leerse que “</w:t>
          </w:r>
          <w:r w:rsidRPr="004F56D0">
            <w:rPr>
              <w:rFonts w:ascii="Arial" w:hAnsi="Arial" w:cs="Arial"/>
              <w:color w:val="000000"/>
              <w:szCs w:val="24"/>
              <w:lang w:val="es-ES"/>
            </w:rPr>
            <w:t>por lo que se refiere, en particular, a los proyectos destinados a proteger o mejorar el estado de las masas de agua superficial, como los proyectos de «recuperación del estado natural», mencionados por el Gobierno francés, </w:t>
          </w:r>
          <w:r w:rsidRPr="004F56D0">
            <w:rPr>
              <w:rFonts w:ascii="Arial" w:hAnsi="Arial" w:cs="Arial"/>
              <w:i/>
              <w:iCs/>
              <w:color w:val="000000"/>
              <w:szCs w:val="24"/>
              <w:lang w:val="es-ES"/>
            </w:rPr>
            <w:t>a priori </w:t>
          </w:r>
          <w:r w:rsidRPr="004F56D0">
            <w:rPr>
              <w:rFonts w:ascii="Arial" w:hAnsi="Arial" w:cs="Arial"/>
              <w:color w:val="000000"/>
              <w:szCs w:val="24"/>
              <w:lang w:val="es-ES"/>
            </w:rPr>
            <w:t>tales proyectos parecen responder a un interés general superior o implican que los beneficios para el medio ambiente y la sociedad que se derivan de la realización de los objetivos enunciados en el artículo 4, apartado 1, de la Directiva 2000/60 son inferiores a los beneficios resultantes para la salud humana, el mantenimiento de la seguridad humana o el desarrollo sostenible, como exige el artículo 4,</w:t>
          </w:r>
          <w:r w:rsidR="004F238B">
            <w:rPr>
              <w:rFonts w:ascii="Arial" w:hAnsi="Arial" w:cs="Arial"/>
              <w:color w:val="000000"/>
              <w:szCs w:val="24"/>
              <w:lang w:val="es-ES"/>
            </w:rPr>
            <w:t xml:space="preserve"> </w:t>
          </w:r>
          <w:r w:rsidR="004F238B" w:rsidRPr="004F56D0">
            <w:rPr>
              <w:rFonts w:ascii="Arial" w:hAnsi="Arial" w:cs="Arial"/>
              <w:color w:val="000000"/>
              <w:szCs w:val="24"/>
              <w:lang w:val="es-ES"/>
            </w:rPr>
            <w:t>apartado 7, letra c), de esa Directiva”</w:t>
          </w:r>
          <w:r w:rsidR="004F238B" w:rsidRPr="004F56D0">
            <w:rPr>
              <w:rStyle w:val="Refdenotaalpie"/>
              <w:rFonts w:ascii="Arial" w:hAnsi="Arial" w:cs="Arial"/>
              <w:szCs w:val="24"/>
              <w:shd w:val="clear" w:color="auto" w:fill="FFFFFF"/>
            </w:rPr>
            <w:footnoteReference w:id="17"/>
          </w:r>
          <w:r w:rsidR="004F238B" w:rsidRPr="004F56D0">
            <w:rPr>
              <w:rFonts w:ascii="Arial" w:hAnsi="Arial" w:cs="Arial"/>
              <w:color w:val="000000"/>
              <w:szCs w:val="24"/>
              <w:lang w:val="es-ES"/>
            </w:rPr>
            <w:t>. Asimismo, se señaló que en</w:t>
          </w:r>
        </w:p>
        <w:sdt>
          <w:sdtPr>
            <w:rPr>
              <w:rFonts w:ascii="Arial" w:hAnsi="Arial"/>
              <w:lang w:val="fr-FR"/>
            </w:rPr>
            <w:id w:val="-719672690"/>
            <w:placeholder>
              <w:docPart w:val="6BD9D24B17FF417981FB8661B5F799C3"/>
            </w:placeholder>
          </w:sdtPr>
          <w:sdtContent>
            <w:p w14:paraId="23E8E6B1" w14:textId="0C20C35B" w:rsidR="006127B4" w:rsidRPr="004C2E75" w:rsidRDefault="00E96FCB" w:rsidP="004C2E75">
              <w:pPr>
                <w:pStyle w:val="Cita"/>
                <w:rPr>
                  <w:rFonts w:ascii="Arial" w:hAnsi="Arial"/>
                  <w:lang w:val="fr-FR"/>
                </w:rPr>
              </w:pPr>
              <w:r w:rsidRPr="004F56D0">
                <w:rPr>
                  <w:rFonts w:ascii="Arial" w:hAnsi="Arial" w:cs="Arial"/>
                  <w:color w:val="000000"/>
                  <w:lang w:val="es-ES"/>
                </w:rPr>
                <w:t>“cuanto a la condición establecida en el artículo 4, apartado 7, letra b), de la Directiva 2000/60 de que «los motivos de las modificaciones o alteraciones se consignen y expliquen específicamente en el plan hidrológico de cuenca exigido con arreglo al artículo 13 [de dicha Directiva] y [de] que los objetivos se revisen cada seis años», de la jurisprudencia del Tribunal de Justicia (sentencia de 4 de mayo de 2016, Comisión/Austria, C</w:t>
              </w:r>
              <w:r w:rsidRPr="004F56D0">
                <w:rPr>
                  <w:rFonts w:ascii="Arial" w:hAnsi="Arial" w:cs="Arial"/>
                  <w:color w:val="000000"/>
                  <w:lang w:val="es-ES"/>
                </w:rPr>
                <w:noBreakHyphen/>
                <w:t>346/14, EU:C:2016:322, apartados 66 y 68 y jurisprudencia citada) y del tenor de la parte A, punto 5, del anexo VII de la citada Directiva se desprende que puede considerarse cumplida cuando las razones que hayan dado origen al proyecto de que se trate solo se contengan, en la fecha en que se autorizó dicho proyecto, en la decisión de autorización de este”</w:t>
              </w:r>
              <w:r w:rsidRPr="004F56D0">
                <w:rPr>
                  <w:rStyle w:val="Refdenotaalpie"/>
                  <w:rFonts w:ascii="Arial" w:hAnsi="Arial" w:cs="Arial"/>
                  <w:sz w:val="24"/>
                  <w:shd w:val="clear" w:color="auto" w:fill="FFFFFF"/>
                </w:rPr>
                <w:t xml:space="preserve"> </w:t>
              </w:r>
              <w:r w:rsidRPr="004F56D0">
                <w:rPr>
                  <w:rStyle w:val="Refdenotaalpie"/>
                  <w:rFonts w:ascii="Arial" w:hAnsi="Arial" w:cs="Arial"/>
                  <w:sz w:val="24"/>
                  <w:shd w:val="clear" w:color="auto" w:fill="FFFFFF"/>
                </w:rPr>
                <w:footnoteReference w:id="18"/>
              </w:r>
              <w:r w:rsidRPr="004F56D0">
                <w:rPr>
                  <w:rFonts w:ascii="Arial" w:hAnsi="Arial" w:cs="Arial"/>
                  <w:color w:val="000000"/>
                  <w:lang w:val="es-ES"/>
                </w:rPr>
                <w:t>.</w:t>
              </w:r>
            </w:p>
          </w:sdtContent>
        </w:sdt>
      </w:sdtContent>
    </w:sdt>
    <w:p w14:paraId="18069E53" w14:textId="05B1332C" w:rsidR="00CB043D" w:rsidRDefault="00BE4343" w:rsidP="00740B4F">
      <w:pPr>
        <w:pStyle w:val="Ttulo2"/>
        <w:rPr>
          <w:rFonts w:cs="Arial"/>
          <w:szCs w:val="24"/>
          <w:lang w:val="es-ES"/>
        </w:rPr>
      </w:pPr>
      <w:r>
        <w:rPr>
          <w:lang w:val="es-ES"/>
        </w:rPr>
        <w:lastRenderedPageBreak/>
        <w:t>4</w:t>
      </w:r>
      <w:r w:rsidR="00F342E5" w:rsidRPr="0034098C">
        <w:rPr>
          <w:lang w:val="es-ES"/>
        </w:rPr>
        <w:t>.</w:t>
      </w:r>
      <w:r>
        <w:rPr>
          <w:lang w:val="es-ES"/>
        </w:rPr>
        <w:t>2</w:t>
      </w:r>
      <w:r w:rsidR="00F342E5" w:rsidRPr="0034098C">
        <w:rPr>
          <w:lang w:val="es-ES"/>
        </w:rPr>
        <w:t xml:space="preserve">. </w:t>
      </w:r>
      <w:r w:rsidR="005C7495">
        <w:rPr>
          <w:lang w:val="es-ES"/>
        </w:rPr>
        <w:t>P</w:t>
      </w:r>
      <w:r w:rsidR="005C7495" w:rsidRPr="004F56D0">
        <w:rPr>
          <w:rFonts w:cs="Arial"/>
          <w:szCs w:val="24"/>
          <w:lang w:val="es-ES"/>
        </w:rPr>
        <w:t>revención y control integrados de la contaminación</w:t>
      </w:r>
    </w:p>
    <w:p w14:paraId="69F4F907" w14:textId="77777777" w:rsidR="00E43062" w:rsidRPr="004F56D0" w:rsidRDefault="00E43062" w:rsidP="00E43062">
      <w:pPr>
        <w:rPr>
          <w:rFonts w:ascii="Arial" w:hAnsi="Arial" w:cs="Arial"/>
          <w:color w:val="000000"/>
          <w:szCs w:val="24"/>
          <w:lang w:val="es-ES"/>
        </w:rPr>
      </w:pPr>
      <w:r w:rsidRPr="004F56D0">
        <w:rPr>
          <w:rFonts w:ascii="Arial" w:hAnsi="Arial" w:cs="Arial"/>
          <w:szCs w:val="24"/>
          <w:lang w:val="es-ES"/>
        </w:rPr>
        <w:t xml:space="preserve">En el período temporal fijado por esta crónica, el Tribunal de Justicia de la Unión Europea resolvió una cuestión prejudicial relativa a la interpretación de normativa europea en materia de prevención y control integrados de la contaminación. Mediante la </w:t>
      </w:r>
      <w:r w:rsidRPr="004F56D0">
        <w:rPr>
          <w:rFonts w:ascii="Arial" w:hAnsi="Arial" w:cs="Arial"/>
          <w:szCs w:val="24"/>
          <w:lang w:val="es-ES_tradnl"/>
        </w:rPr>
        <w:t>sentencia del Tribunal de Just</w:t>
      </w:r>
      <w:proofErr w:type="spellStart"/>
      <w:r w:rsidRPr="004F56D0">
        <w:rPr>
          <w:rFonts w:ascii="Arial" w:hAnsi="Arial" w:cs="Arial"/>
          <w:szCs w:val="24"/>
          <w:lang w:val="es-ES"/>
        </w:rPr>
        <w:t>icia</w:t>
      </w:r>
      <w:proofErr w:type="spellEnd"/>
      <w:r w:rsidRPr="004F56D0">
        <w:rPr>
          <w:rFonts w:ascii="Arial" w:hAnsi="Arial" w:cs="Arial"/>
          <w:szCs w:val="24"/>
          <w:lang w:val="es-ES"/>
        </w:rPr>
        <w:t xml:space="preserve"> de la Unión Europea (Sala Cuarta) de 2</w:t>
      </w:r>
      <w:r w:rsidRPr="004F56D0">
        <w:rPr>
          <w:rFonts w:ascii="Arial" w:hAnsi="Arial" w:cs="Arial"/>
          <w:bCs/>
          <w:szCs w:val="24"/>
          <w:lang w:val="es-ES"/>
        </w:rPr>
        <w:t xml:space="preserve"> de junio de 2022</w:t>
      </w:r>
      <w:r w:rsidRPr="004F56D0">
        <w:rPr>
          <w:rFonts w:ascii="Arial" w:hAnsi="Arial" w:cs="Arial"/>
          <w:szCs w:val="24"/>
          <w:lang w:val="es-ES_tradnl"/>
        </w:rPr>
        <w:t xml:space="preserve">, as. </w:t>
      </w:r>
      <w:r w:rsidRPr="004F56D0">
        <w:rPr>
          <w:rFonts w:ascii="Arial" w:hAnsi="Arial" w:cs="Arial"/>
          <w:color w:val="000000"/>
          <w:szCs w:val="24"/>
          <w:lang w:val="es-ES"/>
        </w:rPr>
        <w:t>C</w:t>
      </w:r>
      <w:r w:rsidRPr="004F56D0">
        <w:rPr>
          <w:rFonts w:ascii="Arial" w:hAnsi="Arial" w:cs="Arial"/>
          <w:color w:val="000000"/>
          <w:szCs w:val="24"/>
          <w:lang w:val="es-ES"/>
        </w:rPr>
        <w:noBreakHyphen/>
        <w:t>43/21</w:t>
      </w:r>
      <w:r w:rsidRPr="004F56D0">
        <w:rPr>
          <w:rFonts w:ascii="Arial" w:hAnsi="Arial" w:cs="Arial"/>
          <w:szCs w:val="24"/>
          <w:lang w:val="es-ES"/>
        </w:rPr>
        <w:t xml:space="preserve">, </w:t>
      </w:r>
      <w:r w:rsidRPr="004F56D0">
        <w:rPr>
          <w:rFonts w:ascii="Arial" w:hAnsi="Arial" w:cs="Arial"/>
          <w:color w:val="000000"/>
          <w:szCs w:val="24"/>
          <w:lang w:val="es-ES"/>
        </w:rPr>
        <w:t xml:space="preserve">FCC </w:t>
      </w:r>
      <w:proofErr w:type="spellStart"/>
      <w:r w:rsidRPr="004F56D0">
        <w:rPr>
          <w:rFonts w:ascii="Arial" w:hAnsi="Arial" w:cs="Arial"/>
          <w:color w:val="000000"/>
          <w:szCs w:val="24"/>
          <w:lang w:val="es-ES"/>
        </w:rPr>
        <w:t>Česká</w:t>
      </w:r>
      <w:proofErr w:type="spellEnd"/>
      <w:r w:rsidRPr="004F56D0">
        <w:rPr>
          <w:rFonts w:ascii="Arial" w:hAnsi="Arial" w:cs="Arial"/>
          <w:color w:val="000000"/>
          <w:szCs w:val="24"/>
          <w:lang w:val="es-ES"/>
        </w:rPr>
        <w:t xml:space="preserve"> </w:t>
      </w:r>
      <w:proofErr w:type="spellStart"/>
      <w:r w:rsidRPr="004F56D0">
        <w:rPr>
          <w:rFonts w:ascii="Arial" w:hAnsi="Arial" w:cs="Arial"/>
          <w:color w:val="000000"/>
          <w:szCs w:val="24"/>
          <w:lang w:val="es-ES"/>
        </w:rPr>
        <w:t>republika</w:t>
      </w:r>
      <w:proofErr w:type="spellEnd"/>
      <w:r w:rsidRPr="004F56D0">
        <w:rPr>
          <w:rFonts w:ascii="Arial" w:hAnsi="Arial" w:cs="Arial"/>
          <w:color w:val="000000"/>
          <w:szCs w:val="24"/>
          <w:lang w:val="es-ES"/>
        </w:rPr>
        <w:t xml:space="preserve"> s. r. o., contra Ministerio de Medio Ambiente, Distrito de </w:t>
      </w:r>
      <w:proofErr w:type="spellStart"/>
      <w:r w:rsidRPr="004F56D0">
        <w:rPr>
          <w:rFonts w:ascii="Arial" w:hAnsi="Arial" w:cs="Arial"/>
          <w:color w:val="000000"/>
          <w:szCs w:val="24"/>
          <w:lang w:val="es-ES"/>
        </w:rPr>
        <w:t>Praha-Ďáblice</w:t>
      </w:r>
      <w:proofErr w:type="spellEnd"/>
      <w:r w:rsidRPr="004F56D0">
        <w:rPr>
          <w:rFonts w:ascii="Arial" w:hAnsi="Arial" w:cs="Arial"/>
          <w:color w:val="000000"/>
          <w:szCs w:val="24"/>
          <w:lang w:val="es-ES"/>
        </w:rPr>
        <w:t xml:space="preserve"> de República Checa, y </w:t>
      </w:r>
      <w:proofErr w:type="spellStart"/>
      <w:r w:rsidRPr="004F56D0">
        <w:rPr>
          <w:rFonts w:ascii="Arial" w:hAnsi="Arial" w:cs="Arial"/>
          <w:color w:val="000000"/>
          <w:szCs w:val="24"/>
          <w:lang w:val="es-ES"/>
        </w:rPr>
        <w:t>Spolek</w:t>
      </w:r>
      <w:proofErr w:type="spellEnd"/>
      <w:r w:rsidRPr="004F56D0">
        <w:rPr>
          <w:rFonts w:ascii="Arial" w:hAnsi="Arial" w:cs="Arial"/>
          <w:color w:val="000000"/>
          <w:szCs w:val="24"/>
          <w:lang w:val="es-ES"/>
        </w:rPr>
        <w:t xml:space="preserve"> pro </w:t>
      </w:r>
      <w:proofErr w:type="spellStart"/>
      <w:r w:rsidRPr="004F56D0">
        <w:rPr>
          <w:rFonts w:ascii="Arial" w:hAnsi="Arial" w:cs="Arial"/>
          <w:color w:val="000000"/>
          <w:szCs w:val="24"/>
          <w:lang w:val="es-ES"/>
        </w:rPr>
        <w:t>Ďáblice</w:t>
      </w:r>
      <w:proofErr w:type="spellEnd"/>
      <w:r w:rsidRPr="004F56D0">
        <w:rPr>
          <w:rFonts w:ascii="Arial" w:hAnsi="Arial" w:cs="Arial"/>
          <w:szCs w:val="24"/>
          <w:lang w:val="es-ES"/>
        </w:rPr>
        <w:t xml:space="preserve">, se resolvieron las preguntas planteadas por el </w:t>
      </w:r>
      <w:r w:rsidRPr="004F56D0">
        <w:rPr>
          <w:rFonts w:ascii="Arial" w:hAnsi="Arial" w:cs="Arial"/>
          <w:color w:val="000000"/>
          <w:szCs w:val="24"/>
          <w:lang w:val="es-ES"/>
        </w:rPr>
        <w:t>Tribunal Supremo de lo Contencioso-Administrativo (República Checa),</w:t>
      </w:r>
      <w:r w:rsidRPr="004F56D0">
        <w:rPr>
          <w:rFonts w:ascii="Arial" w:hAnsi="Arial" w:cs="Arial"/>
          <w:szCs w:val="24"/>
          <w:shd w:val="clear" w:color="auto" w:fill="FFFFFF"/>
          <w:lang w:val="es-ES"/>
        </w:rPr>
        <w:t xml:space="preserve"> en relación a un litigio principal sobre un</w:t>
      </w:r>
      <w:r w:rsidRPr="004F56D0">
        <w:rPr>
          <w:rFonts w:ascii="Arial" w:hAnsi="Arial" w:cs="Arial"/>
          <w:color w:val="000000"/>
          <w:szCs w:val="24"/>
          <w:lang w:val="es-ES"/>
        </w:rPr>
        <w:t xml:space="preserve">a resolución de 29 de diciembre de 2015 por la que se modifica el permiso para explotar el vertedero de </w:t>
      </w:r>
      <w:proofErr w:type="spellStart"/>
      <w:r w:rsidRPr="004F56D0">
        <w:rPr>
          <w:rFonts w:ascii="Arial" w:hAnsi="Arial" w:cs="Arial"/>
          <w:color w:val="000000"/>
          <w:szCs w:val="24"/>
          <w:lang w:val="es-ES"/>
        </w:rPr>
        <w:t>Praha-Ďáblice</w:t>
      </w:r>
      <w:proofErr w:type="spellEnd"/>
      <w:r w:rsidRPr="004F56D0">
        <w:rPr>
          <w:rFonts w:ascii="Arial" w:hAnsi="Arial" w:cs="Arial"/>
          <w:color w:val="000000"/>
          <w:szCs w:val="24"/>
          <w:lang w:val="es-ES"/>
        </w:rPr>
        <w:t xml:space="preserve"> concedido a dicha sociedad, a fin de prolongar el período de depósito de residuos del 31 de diciembre de 2015 al 31 de diciembre de 2017.</w:t>
      </w:r>
    </w:p>
    <w:p w14:paraId="7A04CC63" w14:textId="618DE545" w:rsidR="00BE4343" w:rsidRDefault="00E43062" w:rsidP="00E43062">
      <w:pPr>
        <w:rPr>
          <w:rFonts w:ascii="Arial" w:hAnsi="Arial" w:cs="Arial"/>
          <w:bCs/>
          <w:color w:val="000000"/>
          <w:szCs w:val="24"/>
          <w:lang w:val="es-ES"/>
        </w:rPr>
      </w:pPr>
      <w:r w:rsidRPr="004F56D0">
        <w:rPr>
          <w:rFonts w:ascii="Arial" w:hAnsi="Arial" w:cs="Arial"/>
          <w:color w:val="000000"/>
          <w:szCs w:val="24"/>
          <w:lang w:val="es-ES"/>
        </w:rPr>
        <w:t>La petición de decisión prejudicial tuvo por objeto la interpretación del artículo 3.9 de la Directiva 2010/75/UE sobre prevención y control integrados de la contaminación</w:t>
      </w:r>
      <w:r w:rsidRPr="004F56D0">
        <w:rPr>
          <w:rStyle w:val="Refdenotaalpie"/>
          <w:rFonts w:ascii="Arial" w:hAnsi="Arial" w:cs="Arial"/>
          <w:szCs w:val="24"/>
          <w:lang w:val="es-ES_tradnl"/>
        </w:rPr>
        <w:footnoteReference w:id="19"/>
      </w:r>
      <w:r w:rsidRPr="004F56D0">
        <w:rPr>
          <w:rFonts w:ascii="Arial" w:hAnsi="Arial" w:cs="Arial"/>
          <w:bCs/>
          <w:szCs w:val="24"/>
          <w:shd w:val="clear" w:color="auto" w:fill="FFFFFF"/>
          <w:lang w:val="es-ES_tradnl"/>
        </w:rPr>
        <w:t>. El órgano jurisdiccional nacional preguntó si este precepto debía interpretarse en el sentido de la prolongación del periodo del depósito de residuos supone una modificación sustancial</w:t>
      </w:r>
      <w:r w:rsidRPr="004F56D0">
        <w:rPr>
          <w:rStyle w:val="Refdenotaalpie"/>
          <w:rFonts w:ascii="Arial" w:hAnsi="Arial" w:cs="Arial"/>
          <w:bCs/>
          <w:szCs w:val="24"/>
          <w:shd w:val="clear" w:color="auto" w:fill="FFFFFF"/>
        </w:rPr>
        <w:footnoteReference w:id="20"/>
      </w:r>
      <w:r w:rsidRPr="004F56D0">
        <w:rPr>
          <w:rFonts w:ascii="Arial" w:hAnsi="Arial" w:cs="Arial"/>
          <w:bCs/>
          <w:szCs w:val="24"/>
          <w:shd w:val="clear" w:color="auto" w:fill="FFFFFF"/>
          <w:lang w:val="es-ES"/>
        </w:rPr>
        <w:t>. El Tribunal respondió a esta cuestión al declarar en su fallo que el artículo 3.9 de la Directiva “</w:t>
      </w:r>
      <w:r w:rsidRPr="004F56D0">
        <w:rPr>
          <w:rFonts w:ascii="Arial" w:hAnsi="Arial" w:cs="Arial"/>
          <w:bCs/>
          <w:color w:val="000000"/>
          <w:szCs w:val="24"/>
          <w:lang w:val="es-ES"/>
        </w:rPr>
        <w:t>debe interpretarse en el sentido de que la mera prolongación del período de depósito de residuos, sin que se modifiquen las dimensiones máximas autorizadas de la instalación ni su capacidad total, no constituye una «modificación sustancial» en el sentido de dicha disposición”.</w:t>
      </w:r>
    </w:p>
    <w:p w14:paraId="1BA17C82" w14:textId="2F33AFA9" w:rsidR="00AC520F" w:rsidRDefault="00AC520F" w:rsidP="00E43062">
      <w:pPr>
        <w:rPr>
          <w:rFonts w:ascii="Arial" w:hAnsi="Arial" w:cs="Arial"/>
          <w:b/>
          <w:bCs/>
          <w:szCs w:val="24"/>
          <w:shd w:val="clear" w:color="auto" w:fill="FFFFFF"/>
          <w:lang w:val="es-ES"/>
        </w:rPr>
      </w:pPr>
      <w:r>
        <w:rPr>
          <w:rFonts w:ascii="Arial" w:hAnsi="Arial" w:cs="Arial"/>
          <w:b/>
          <w:color w:val="000000"/>
          <w:szCs w:val="24"/>
          <w:lang w:val="es-ES"/>
        </w:rPr>
        <w:t xml:space="preserve">4.3. </w:t>
      </w:r>
      <w:r w:rsidR="0060053C">
        <w:rPr>
          <w:rFonts w:ascii="Arial" w:hAnsi="Arial" w:cs="Arial"/>
          <w:b/>
          <w:color w:val="000000"/>
          <w:szCs w:val="24"/>
          <w:lang w:val="es-ES"/>
        </w:rPr>
        <w:t>O</w:t>
      </w:r>
      <w:r w:rsidR="0060053C" w:rsidRPr="004F56D0">
        <w:rPr>
          <w:rFonts w:ascii="Arial" w:hAnsi="Arial" w:cs="Arial"/>
          <w:b/>
          <w:bCs/>
          <w:szCs w:val="24"/>
          <w:shd w:val="clear" w:color="auto" w:fill="FFFFFF"/>
          <w:lang w:val="es-ES"/>
        </w:rPr>
        <w:t>rganismos modificados genéticamente</w:t>
      </w:r>
    </w:p>
    <w:p w14:paraId="3764DB99" w14:textId="77777777" w:rsidR="00785A61" w:rsidRPr="004F56D0" w:rsidRDefault="00785A61" w:rsidP="00785A61">
      <w:pPr>
        <w:rPr>
          <w:rFonts w:ascii="Arial" w:hAnsi="Arial" w:cs="Arial"/>
          <w:bCs/>
          <w:szCs w:val="24"/>
          <w:lang w:val="es-ES"/>
        </w:rPr>
      </w:pPr>
      <w:r w:rsidRPr="004F56D0">
        <w:rPr>
          <w:rFonts w:ascii="Arial" w:hAnsi="Arial" w:cs="Arial"/>
          <w:szCs w:val="24"/>
          <w:lang w:val="es-ES"/>
        </w:rPr>
        <w:t xml:space="preserve">En este apartado se incluye la </w:t>
      </w:r>
      <w:r w:rsidRPr="004F56D0">
        <w:rPr>
          <w:rFonts w:ascii="Arial" w:hAnsi="Arial" w:cs="Arial"/>
          <w:szCs w:val="24"/>
          <w:lang w:val="es-ES_tradnl"/>
        </w:rPr>
        <w:t>sentencia del Tribunal de Justicia de la Unión Europea (Sala Segunda) de 7</w:t>
      </w:r>
      <w:r w:rsidRPr="004F56D0">
        <w:rPr>
          <w:rStyle w:val="Textoennegrita"/>
          <w:rFonts w:ascii="Arial" w:hAnsi="Arial" w:cs="Arial"/>
          <w:b w:val="0"/>
          <w:szCs w:val="24"/>
          <w:lang w:val="es-ES"/>
        </w:rPr>
        <w:t xml:space="preserve"> de julio de 2022</w:t>
      </w:r>
      <w:r w:rsidRPr="004F56D0">
        <w:rPr>
          <w:rFonts w:ascii="Arial" w:hAnsi="Arial" w:cs="Arial"/>
          <w:szCs w:val="24"/>
          <w:lang w:val="es-ES_tradnl"/>
        </w:rPr>
        <w:t xml:space="preserve">, as. </w:t>
      </w:r>
      <w:r w:rsidRPr="004F56D0">
        <w:rPr>
          <w:rFonts w:ascii="Arial" w:hAnsi="Arial" w:cs="Arial"/>
          <w:color w:val="000000"/>
          <w:szCs w:val="24"/>
          <w:lang w:val="es-ES"/>
        </w:rPr>
        <w:t>C-24/21</w:t>
      </w:r>
      <w:r w:rsidRPr="004F56D0">
        <w:rPr>
          <w:rFonts w:ascii="Arial" w:hAnsi="Arial" w:cs="Arial"/>
          <w:szCs w:val="24"/>
          <w:lang w:val="es-ES"/>
        </w:rPr>
        <w:t xml:space="preserve">, </w:t>
      </w:r>
      <w:r w:rsidRPr="004F56D0">
        <w:rPr>
          <w:rFonts w:ascii="Arial" w:hAnsi="Arial" w:cs="Arial"/>
          <w:color w:val="000000"/>
          <w:szCs w:val="24"/>
          <w:lang w:val="es-ES"/>
        </w:rPr>
        <w:t>PH contra Región Autónoma de Friul-Venecia Julia de Italia</w:t>
      </w:r>
      <w:r w:rsidRPr="004F56D0">
        <w:rPr>
          <w:rFonts w:ascii="Arial" w:hAnsi="Arial" w:cs="Arial"/>
          <w:bCs/>
          <w:szCs w:val="24"/>
          <w:lang w:val="es-ES"/>
        </w:rPr>
        <w:t xml:space="preserve">, que resolvió una cuestión prejudicial planteada por el </w:t>
      </w:r>
      <w:r w:rsidRPr="004F56D0">
        <w:rPr>
          <w:rFonts w:ascii="Arial" w:hAnsi="Arial" w:cs="Arial"/>
          <w:color w:val="000000"/>
          <w:szCs w:val="24"/>
          <w:lang w:val="es-ES"/>
        </w:rPr>
        <w:t>Tribunal Ordinario de Pordenone (Italia)</w:t>
      </w:r>
      <w:r w:rsidRPr="004F56D0">
        <w:rPr>
          <w:rFonts w:ascii="Arial" w:hAnsi="Arial" w:cs="Arial"/>
          <w:szCs w:val="24"/>
          <w:shd w:val="clear" w:color="auto" w:fill="FFFFFF"/>
          <w:lang w:val="es-ES"/>
        </w:rPr>
        <w:t xml:space="preserve">, y en la que se </w:t>
      </w:r>
      <w:r w:rsidRPr="004F56D0">
        <w:rPr>
          <w:rFonts w:ascii="Arial" w:hAnsi="Arial" w:cs="Arial"/>
          <w:szCs w:val="24"/>
          <w:shd w:val="clear" w:color="auto" w:fill="FFFFFF"/>
          <w:lang w:val="es-ES"/>
        </w:rPr>
        <w:lastRenderedPageBreak/>
        <w:t xml:space="preserve">cuestionó la interpretación de la </w:t>
      </w:r>
      <w:r w:rsidRPr="004F56D0">
        <w:rPr>
          <w:rFonts w:ascii="Arial" w:hAnsi="Arial" w:cs="Arial"/>
          <w:color w:val="000000"/>
          <w:szCs w:val="24"/>
          <w:lang w:val="es-ES"/>
        </w:rPr>
        <w:t>Directiva 2001/18/CE sobre la liberación intencional en el medio ambiente de organismos modificados genéticamente, implementada teniendo en cuenta el Reglamento n.º 1829/2003 y de la Recomendación de la Comisión, de 13 de julio de 2010, sobre directrices para el desarrollo de medidas nacionales de coexistencia destinadas a evitar la presencia accidental de OMG en cultivos convencionales y ecológicos, así como de los artículos 34, 35 y 36 TFUE</w:t>
      </w:r>
      <w:r w:rsidRPr="004F56D0">
        <w:rPr>
          <w:rStyle w:val="Refdenotaalpie"/>
          <w:rFonts w:ascii="Arial" w:hAnsi="Arial" w:cs="Arial"/>
          <w:bCs/>
          <w:szCs w:val="24"/>
        </w:rPr>
        <w:footnoteReference w:id="21"/>
      </w:r>
      <w:r w:rsidRPr="004F56D0">
        <w:rPr>
          <w:rFonts w:ascii="Arial" w:hAnsi="Arial" w:cs="Arial"/>
          <w:bCs/>
          <w:szCs w:val="24"/>
          <w:lang w:val="es-ES"/>
        </w:rPr>
        <w:t xml:space="preserve">. </w:t>
      </w:r>
    </w:p>
    <w:p w14:paraId="334955F9" w14:textId="77777777" w:rsidR="00785A61" w:rsidRPr="004F56D0" w:rsidRDefault="00785A61" w:rsidP="00785A61">
      <w:pPr>
        <w:rPr>
          <w:rFonts w:ascii="Arial" w:hAnsi="Arial" w:cs="Arial"/>
          <w:color w:val="000000"/>
          <w:szCs w:val="24"/>
          <w:lang w:val="es-ES"/>
        </w:rPr>
      </w:pPr>
      <w:r w:rsidRPr="004F56D0">
        <w:rPr>
          <w:rFonts w:ascii="Arial" w:hAnsi="Arial" w:cs="Arial"/>
          <w:bCs/>
          <w:szCs w:val="24"/>
          <w:lang w:val="es-ES"/>
        </w:rPr>
        <w:t xml:space="preserve">El litigio principal que produjo este pronunciamiento </w:t>
      </w:r>
      <w:r w:rsidRPr="004F56D0">
        <w:rPr>
          <w:rFonts w:ascii="Arial" w:hAnsi="Arial" w:cs="Arial"/>
          <w:szCs w:val="24"/>
          <w:lang w:val="es-ES"/>
        </w:rPr>
        <w:t xml:space="preserve">estaba en relación con </w:t>
      </w:r>
      <w:r w:rsidRPr="004F56D0">
        <w:rPr>
          <w:rFonts w:ascii="Arial" w:hAnsi="Arial" w:cs="Arial"/>
          <w:color w:val="000000"/>
          <w:szCs w:val="24"/>
          <w:lang w:val="es-ES"/>
        </w:rPr>
        <w:t>una resolución por la que se sancionaba a PH con el pago de una multa por violación de la prohibición de cultivar maíz modificado genéticamente</w:t>
      </w:r>
      <w:r w:rsidRPr="004F56D0">
        <w:rPr>
          <w:rFonts w:ascii="Arial" w:hAnsi="Arial" w:cs="Arial"/>
          <w:szCs w:val="24"/>
          <w:lang w:val="es-ES"/>
        </w:rPr>
        <w:t xml:space="preserve">. El órgano jurisdiccional nacional preguntó </w:t>
      </w:r>
      <w:r w:rsidRPr="004F56D0">
        <w:rPr>
          <w:rFonts w:ascii="Arial" w:hAnsi="Arial" w:cs="Arial"/>
          <w:color w:val="000000"/>
          <w:szCs w:val="24"/>
          <w:lang w:val="es-ES"/>
        </w:rPr>
        <w:t>si se ajustaba a la Directiva 2001/18 la prohibición establecida en la Ley Regional, que introducía medidas de coexistencia que suponían la prohibición de cultivar la variedad de maíz MON 810 en su territorio, y si esta prohibición podía constituir una medida de efecto equivalente contraria a los artículos 34, 35 y 36 TFUE</w:t>
      </w:r>
      <w:r w:rsidRPr="004F56D0">
        <w:rPr>
          <w:rStyle w:val="Refdenotaalpie"/>
          <w:rFonts w:ascii="Arial" w:hAnsi="Arial" w:cs="Arial"/>
          <w:bCs/>
          <w:szCs w:val="24"/>
          <w:shd w:val="clear" w:color="auto" w:fill="FFFFFF"/>
        </w:rPr>
        <w:footnoteReference w:id="22"/>
      </w:r>
      <w:r w:rsidRPr="004F56D0">
        <w:rPr>
          <w:rFonts w:ascii="Arial" w:hAnsi="Arial" w:cs="Arial"/>
          <w:color w:val="000000"/>
          <w:szCs w:val="24"/>
          <w:lang w:val="es-ES"/>
        </w:rPr>
        <w:t xml:space="preserve">. </w:t>
      </w:r>
    </w:p>
    <w:p w14:paraId="6CE6AB7A" w14:textId="51AFEE9D" w:rsidR="0060053C" w:rsidRDefault="00785A61" w:rsidP="00785A61">
      <w:pPr>
        <w:rPr>
          <w:rFonts w:ascii="Arial" w:hAnsi="Arial" w:cs="Arial"/>
          <w:bCs/>
          <w:color w:val="000000"/>
          <w:szCs w:val="24"/>
          <w:lang w:val="es-ES"/>
        </w:rPr>
      </w:pPr>
      <w:r w:rsidRPr="004F56D0">
        <w:rPr>
          <w:rFonts w:ascii="Arial" w:hAnsi="Arial" w:cs="Arial"/>
          <w:bCs/>
          <w:szCs w:val="24"/>
          <w:shd w:val="clear" w:color="auto" w:fill="FFFFFF"/>
          <w:lang w:val="es-ES"/>
        </w:rPr>
        <w:t>En respuesta a estas preguntas, el Tribunal desarrolló el estudio de las consideraciones, y declaró que e</w:t>
      </w:r>
      <w:r w:rsidRPr="004F56D0">
        <w:rPr>
          <w:rFonts w:ascii="Arial" w:hAnsi="Arial" w:cs="Arial"/>
          <w:bCs/>
          <w:color w:val="000000"/>
          <w:szCs w:val="24"/>
          <w:lang w:val="es-ES"/>
        </w:rPr>
        <w:t>l artículo 26 </w:t>
      </w:r>
      <w:r w:rsidRPr="004F56D0">
        <w:rPr>
          <w:rFonts w:ascii="Arial" w:hAnsi="Arial" w:cs="Arial"/>
          <w:bCs/>
          <w:i/>
          <w:iCs/>
          <w:color w:val="000000"/>
          <w:szCs w:val="24"/>
          <w:lang w:val="es-ES"/>
        </w:rPr>
        <w:t>bis</w:t>
      </w:r>
      <w:r w:rsidRPr="004F56D0">
        <w:rPr>
          <w:rFonts w:ascii="Arial" w:hAnsi="Arial" w:cs="Arial"/>
          <w:bCs/>
          <w:color w:val="000000"/>
          <w:szCs w:val="24"/>
          <w:lang w:val="es-ES"/>
        </w:rPr>
        <w:t> de la Directiva 2001/18/CE</w:t>
      </w:r>
    </w:p>
    <w:sdt>
      <w:sdtPr>
        <w:rPr>
          <w:rFonts w:ascii="Arial" w:hAnsi="Arial"/>
          <w:lang w:val="fr-FR"/>
        </w:rPr>
        <w:id w:val="-362828220"/>
        <w:placeholder>
          <w:docPart w:val="8C7B3794610B4016AE9C9BE737084DB3"/>
        </w:placeholder>
      </w:sdtPr>
      <w:sdtEndPr>
        <w:rPr>
          <w:iCs w:val="0"/>
        </w:rPr>
      </w:sdtEndPr>
      <w:sdtContent>
        <w:p w14:paraId="6839116F" w14:textId="3BFFE639" w:rsidR="00785A61" w:rsidRPr="006249A1" w:rsidRDefault="006249A1" w:rsidP="006249A1">
          <w:pPr>
            <w:pStyle w:val="Cita"/>
            <w:rPr>
              <w:rFonts w:ascii="Arial" w:hAnsi="Arial" w:cs="Arial"/>
              <w:bCs/>
              <w:color w:val="000000"/>
              <w:lang w:val="es-ES"/>
            </w:rPr>
          </w:pPr>
          <w:r w:rsidRPr="004F56D0">
            <w:rPr>
              <w:rFonts w:ascii="Arial" w:hAnsi="Arial" w:cs="Arial"/>
              <w:bCs/>
              <w:color w:val="000000"/>
              <w:lang w:val="es-ES"/>
            </w:rPr>
            <w:t xml:space="preserve">“debe interpretarse en el sentido de que no se opone a una medida nacional que prohíbe, con el fin de impedir la presencia accidental de organismos modificados genéticamente en otros productos, el cultivo en el territorio de una región del Estado miembro de que se trate de organismos modificados genéticamente autorizados en virtud del Reglamento n.º 1829/2003, siempre que dicha medida permita alcanzar el objetivo de garantizar a los productores y a los consumidores la posibilidad de elegir entre productos procedentes de cultivos modificados genéticamente y productos procedentes de cultivos ecológicos o convencionales y que, habida cuenta de las particularidades de los citados cultivos en ese territorio, la medida sea proporcionada a ese objetivo y necesaria para </w:t>
          </w:r>
          <w:r w:rsidRPr="004F56D0">
            <w:rPr>
              <w:rFonts w:ascii="Arial" w:hAnsi="Arial" w:cs="Arial"/>
              <w:bCs/>
              <w:color w:val="000000"/>
              <w:lang w:val="es-ES"/>
            </w:rPr>
            <w:lastRenderedPageBreak/>
            <w:t>alcanzarlo”. Asimismo, añadió que “cuando una medida nacional prohíbe, en el territorio de una región del Estado miembro de que se trate, el cultivo de organismos modificados genéticamente autorizados en virtud del Reglamento n.º 1829/2003, de conformidad con el artículo 26 </w:t>
          </w:r>
          <w:r w:rsidRPr="004F56D0">
            <w:rPr>
              <w:rFonts w:ascii="Arial" w:hAnsi="Arial" w:cs="Arial"/>
              <w:bCs/>
              <w:i/>
              <w:color w:val="000000"/>
              <w:lang w:val="es-ES"/>
            </w:rPr>
            <w:t>bis</w:t>
          </w:r>
          <w:r w:rsidRPr="004F56D0">
            <w:rPr>
              <w:rFonts w:ascii="Arial" w:hAnsi="Arial" w:cs="Arial"/>
              <w:bCs/>
              <w:color w:val="000000"/>
              <w:lang w:val="es-ES"/>
            </w:rPr>
            <w:t> de la Directiva 2001/18 […], no es necesario comprobar, además, separadamente, si dicha medida es conforme con los artículos 34 TFUE a 36 TFUE”.</w:t>
          </w:r>
        </w:p>
      </w:sdtContent>
    </w:sdt>
    <w:p w14:paraId="7C416E45" w14:textId="7BB02D16" w:rsidR="00785A61" w:rsidRPr="00403EFF" w:rsidRDefault="00403EFF" w:rsidP="00785A61">
      <w:pPr>
        <w:rPr>
          <w:rFonts w:ascii="Arial" w:hAnsi="Arial" w:cs="Arial"/>
          <w:b/>
          <w:color w:val="000000"/>
          <w:szCs w:val="24"/>
          <w:lang w:val="es-ES"/>
        </w:rPr>
      </w:pPr>
      <w:r>
        <w:rPr>
          <w:rFonts w:ascii="Arial" w:hAnsi="Arial" w:cs="Arial"/>
          <w:b/>
          <w:color w:val="000000"/>
          <w:szCs w:val="24"/>
          <w:lang w:val="es-ES"/>
        </w:rPr>
        <w:t>4.4. P</w:t>
      </w:r>
      <w:r w:rsidRPr="004F56D0">
        <w:rPr>
          <w:rFonts w:ascii="Arial" w:hAnsi="Arial" w:cs="Arial"/>
          <w:b/>
          <w:bCs/>
          <w:szCs w:val="24"/>
          <w:shd w:val="clear" w:color="auto" w:fill="FFFFFF"/>
          <w:lang w:val="es-ES"/>
        </w:rPr>
        <w:t>rotección de especies de fauna y flora mediante el comercio</w:t>
      </w:r>
      <w:r w:rsidRPr="004F56D0">
        <w:rPr>
          <w:rFonts w:ascii="Arial" w:hAnsi="Arial" w:cs="Arial"/>
          <w:b/>
          <w:color w:val="000000"/>
          <w:szCs w:val="24"/>
          <w:lang w:val="es-ES"/>
        </w:rPr>
        <w:t>.</w:t>
      </w:r>
    </w:p>
    <w:p w14:paraId="05C7A364" w14:textId="77777777" w:rsidR="00364ED0" w:rsidRPr="004F56D0" w:rsidRDefault="00364ED0" w:rsidP="00364ED0">
      <w:pPr>
        <w:rPr>
          <w:rFonts w:ascii="Arial" w:hAnsi="Arial" w:cs="Arial"/>
          <w:color w:val="000000"/>
          <w:szCs w:val="24"/>
          <w:lang w:val="es-ES"/>
        </w:rPr>
      </w:pPr>
      <w:r w:rsidRPr="004F56D0">
        <w:rPr>
          <w:rFonts w:ascii="Arial" w:hAnsi="Arial" w:cs="Arial"/>
          <w:szCs w:val="24"/>
          <w:lang w:val="es-ES"/>
        </w:rPr>
        <w:t>En el período analizado en esta crónica, el Tribunal de Justicia emitió una sentencia que respondía a cuestiones prejudiciales relativas a la interpretación de normativa que incide en la p</w:t>
      </w:r>
      <w:r w:rsidRPr="004F56D0">
        <w:rPr>
          <w:rFonts w:ascii="Arial" w:hAnsi="Arial" w:cs="Arial"/>
          <w:bCs/>
          <w:szCs w:val="24"/>
          <w:shd w:val="clear" w:color="auto" w:fill="FFFFFF"/>
          <w:lang w:val="es-ES"/>
        </w:rPr>
        <w:t>rotección de especies de fauna y flora mediante el comercio</w:t>
      </w:r>
      <w:r w:rsidRPr="004F56D0">
        <w:rPr>
          <w:rFonts w:ascii="Arial" w:hAnsi="Arial" w:cs="Arial"/>
          <w:szCs w:val="24"/>
          <w:lang w:val="es-ES"/>
        </w:rPr>
        <w:t xml:space="preserve">. Mediante la </w:t>
      </w:r>
      <w:r w:rsidRPr="004F56D0">
        <w:rPr>
          <w:rFonts w:ascii="Arial" w:hAnsi="Arial" w:cs="Arial"/>
          <w:szCs w:val="24"/>
          <w:lang w:val="es-ES_tradnl"/>
        </w:rPr>
        <w:t>sentencia del Tribunal de Justicia de la Unión Europea (Sala Cuarta) de 8</w:t>
      </w:r>
      <w:r w:rsidRPr="004F56D0">
        <w:rPr>
          <w:rFonts w:ascii="Arial" w:eastAsia="Times New Roman" w:hAnsi="Arial" w:cs="Arial"/>
          <w:bCs/>
          <w:szCs w:val="24"/>
          <w:lang w:val="es-ES" w:eastAsia="es-ES"/>
        </w:rPr>
        <w:t xml:space="preserve"> de septiembre de 2022</w:t>
      </w:r>
      <w:r w:rsidRPr="004F56D0">
        <w:rPr>
          <w:rFonts w:ascii="Arial" w:hAnsi="Arial" w:cs="Arial"/>
          <w:szCs w:val="24"/>
          <w:lang w:val="es-ES_tradnl"/>
        </w:rPr>
        <w:t xml:space="preserve">, as. </w:t>
      </w:r>
      <w:r w:rsidRPr="004F56D0">
        <w:rPr>
          <w:rFonts w:ascii="Arial" w:hAnsi="Arial" w:cs="Arial"/>
          <w:color w:val="000000"/>
          <w:szCs w:val="24"/>
          <w:lang w:val="es-ES"/>
        </w:rPr>
        <w:t>C</w:t>
      </w:r>
      <w:r w:rsidRPr="004F56D0">
        <w:rPr>
          <w:rFonts w:ascii="Arial" w:hAnsi="Arial" w:cs="Arial"/>
          <w:color w:val="000000"/>
          <w:szCs w:val="24"/>
          <w:lang w:val="es-ES"/>
        </w:rPr>
        <w:noBreakHyphen/>
        <w:t>659/20</w:t>
      </w:r>
      <w:r w:rsidRPr="004F56D0">
        <w:rPr>
          <w:rFonts w:ascii="Arial" w:hAnsi="Arial" w:cs="Arial"/>
          <w:szCs w:val="24"/>
          <w:lang w:val="es-ES_tradnl"/>
        </w:rPr>
        <w:t>, ET</w:t>
      </w:r>
      <w:r w:rsidRPr="004F56D0">
        <w:rPr>
          <w:rFonts w:ascii="Arial" w:hAnsi="Arial" w:cs="Arial"/>
          <w:color w:val="000000"/>
          <w:szCs w:val="24"/>
          <w:lang w:val="es-ES"/>
        </w:rPr>
        <w:t xml:space="preserve"> contra Ministerio de Medio Ambiente de la República Checa, se respondió a las cuestiones planteadas por el Tribunal Supremo de lo Contencioso-Administrativo (República Checa). El litigio principal venía referido a un procedimiento de casación en relación con la concesión de una excepción a la prohibición de actividades comerciales para cinco especímenes de guacamayo jacinto (</w:t>
      </w:r>
      <w:proofErr w:type="spellStart"/>
      <w:r w:rsidRPr="004F56D0">
        <w:rPr>
          <w:rFonts w:ascii="Arial" w:hAnsi="Arial" w:cs="Arial"/>
          <w:i/>
          <w:iCs/>
          <w:color w:val="000000"/>
          <w:szCs w:val="24"/>
          <w:lang w:val="es-ES"/>
        </w:rPr>
        <w:t>Anodorhynchus</w:t>
      </w:r>
      <w:proofErr w:type="spellEnd"/>
      <w:r w:rsidRPr="004F56D0">
        <w:rPr>
          <w:rFonts w:ascii="Arial" w:hAnsi="Arial" w:cs="Arial"/>
          <w:i/>
          <w:iCs/>
          <w:color w:val="000000"/>
          <w:szCs w:val="24"/>
          <w:lang w:val="es-ES"/>
        </w:rPr>
        <w:t xml:space="preserve"> </w:t>
      </w:r>
      <w:proofErr w:type="spellStart"/>
      <w:r w:rsidRPr="004F56D0">
        <w:rPr>
          <w:rFonts w:ascii="Arial" w:hAnsi="Arial" w:cs="Arial"/>
          <w:i/>
          <w:iCs/>
          <w:color w:val="000000"/>
          <w:szCs w:val="24"/>
          <w:lang w:val="es-ES"/>
        </w:rPr>
        <w:t>hyacinthinus</w:t>
      </w:r>
      <w:proofErr w:type="spellEnd"/>
      <w:r w:rsidRPr="004F56D0">
        <w:rPr>
          <w:rFonts w:ascii="Arial" w:hAnsi="Arial" w:cs="Arial"/>
          <w:color w:val="000000"/>
          <w:szCs w:val="24"/>
          <w:lang w:val="es-ES"/>
        </w:rPr>
        <w:t>).</w:t>
      </w:r>
    </w:p>
    <w:p w14:paraId="56D3EE12" w14:textId="77777777" w:rsidR="00364ED0" w:rsidRPr="004F56D0" w:rsidRDefault="00364ED0" w:rsidP="00364ED0">
      <w:pPr>
        <w:rPr>
          <w:rFonts w:ascii="Arial" w:hAnsi="Arial" w:cs="Arial"/>
          <w:color w:val="000000"/>
          <w:szCs w:val="24"/>
          <w:lang w:val="es-ES"/>
        </w:rPr>
      </w:pPr>
      <w:r w:rsidRPr="004F56D0">
        <w:rPr>
          <w:rFonts w:ascii="Arial" w:hAnsi="Arial" w:cs="Arial"/>
          <w:color w:val="000000"/>
          <w:szCs w:val="24"/>
          <w:lang w:val="es-ES"/>
        </w:rPr>
        <w:t>La petición de decisión prejudicial tenía como objeto la interpretación de los artículos 1.3 y 54.2 del Reglamento (CE) n.º 865/2006 de la Comisión, por el que se establecen disposiciones de aplicación del Reglamento (CE) n.º 338/97 del Consejo relativo a la protección de especies de la fauna y flora silvestres mediante el control de su comercio</w:t>
      </w:r>
      <w:r w:rsidRPr="004F56D0">
        <w:rPr>
          <w:rStyle w:val="Refdenotaalpie"/>
          <w:rFonts w:ascii="Arial" w:hAnsi="Arial" w:cs="Arial"/>
          <w:bCs/>
          <w:szCs w:val="24"/>
        </w:rPr>
        <w:footnoteReference w:id="23"/>
      </w:r>
      <w:r w:rsidRPr="004F56D0">
        <w:rPr>
          <w:rFonts w:ascii="Arial" w:hAnsi="Arial" w:cs="Arial"/>
          <w:bCs/>
          <w:szCs w:val="24"/>
          <w:lang w:val="es-ES"/>
        </w:rPr>
        <w:t>. En particular, el órgano jurisdiccional nacional</w:t>
      </w:r>
      <w:r w:rsidRPr="004F56D0">
        <w:rPr>
          <w:rFonts w:ascii="Arial" w:hAnsi="Arial" w:cs="Arial"/>
          <w:color w:val="000000"/>
          <w:szCs w:val="24"/>
          <w:lang w:val="es-ES"/>
        </w:rPr>
        <w:t xml:space="preserve"> preguntó si debe interpretarse que están comprendidos en el concepto de “plantel reproductor”, en el sentido del Reglamento (CE) n.º 865/2006, los especímenes parentales de los criados por un criador autorizado pese a que nunca haya sido propietario de los especímenes parentales, ni los haya tenido en su posesión; y si, en el caso de que no estuvieran incluidos, están facultados los órganos competentes para controlar el origen de esos </w:t>
      </w:r>
      <w:r w:rsidRPr="004F56D0">
        <w:rPr>
          <w:rFonts w:ascii="Arial" w:hAnsi="Arial" w:cs="Arial"/>
          <w:color w:val="000000"/>
          <w:szCs w:val="24"/>
          <w:lang w:val="es-ES"/>
        </w:rPr>
        <w:lastRenderedPageBreak/>
        <w:t>especímenes parentales y evaluar si el plantel reproductor ha sido obtenido legalmente, en lo que podrían ser tenidas en cuenta circunstancias del caso concreto como la buena fe o la confianza legítima</w:t>
      </w:r>
      <w:r w:rsidRPr="004F56D0">
        <w:rPr>
          <w:rStyle w:val="Refdenotaalpie"/>
          <w:rFonts w:ascii="Arial" w:hAnsi="Arial" w:cs="Arial"/>
          <w:bCs/>
          <w:szCs w:val="24"/>
          <w:shd w:val="clear" w:color="auto" w:fill="FFFFFF"/>
        </w:rPr>
        <w:footnoteReference w:id="24"/>
      </w:r>
      <w:r w:rsidRPr="004F56D0">
        <w:rPr>
          <w:rFonts w:ascii="Arial" w:hAnsi="Arial" w:cs="Arial"/>
          <w:color w:val="000000"/>
          <w:szCs w:val="24"/>
          <w:lang w:val="es-ES"/>
        </w:rPr>
        <w:t>.</w:t>
      </w:r>
    </w:p>
    <w:p w14:paraId="1B6111F7" w14:textId="77777777" w:rsidR="00364ED0" w:rsidRPr="00B55AE1" w:rsidRDefault="00364ED0" w:rsidP="00364ED0">
      <w:pPr>
        <w:rPr>
          <w:rFonts w:cs="Times New Roman"/>
          <w:bCs/>
          <w:color w:val="000000"/>
          <w:szCs w:val="24"/>
          <w:lang w:val="es-ES"/>
        </w:rPr>
      </w:pPr>
      <w:r w:rsidRPr="004F56D0">
        <w:rPr>
          <w:rFonts w:ascii="Arial" w:hAnsi="Arial" w:cs="Arial"/>
          <w:color w:val="000000"/>
          <w:szCs w:val="24"/>
          <w:lang w:val="es-ES"/>
        </w:rPr>
        <w:t>Como respuesta a estas preguntas, el Tribunal de Justicia declaró que e</w:t>
      </w:r>
      <w:r w:rsidRPr="004F56D0">
        <w:rPr>
          <w:rFonts w:ascii="Arial" w:hAnsi="Arial" w:cs="Arial"/>
          <w:bCs/>
          <w:color w:val="000000"/>
          <w:szCs w:val="24"/>
          <w:lang w:val="es-ES"/>
        </w:rPr>
        <w:t xml:space="preserve">l artículo 1.3 del Reglamento (CE) n.º 865/2006 “debe interpretarse en el sentido de que: no están comprendidos en el concepto de «plantel reproductor», a los efectos de dicha disposición, los ascendientes de los especímenes criados en un establecimiento que nunca han sido de la propiedad ni han estado en posesión de ese establecimiento”. Asimismo, señaló que el artículo 54.2 del Reglamento n.º 865/2006, “en relación con el artículo 17 de la Carta de los Derechos Fundamentales de la Unión Europea y el principio de protección de la confianza legítima, debe interpretarse en el sentido de que: se opone a que un espécimen —que está en posesión de un criador— de una especie animal mencionada en el Anexo A del Reglamento (CE) n.º 338/97 del Consejo, de 9 de diciembre de 1996, relativo a la protección de especies de la fauna y flora silvestres mediante el control de su comercio, pueda considerarse que ha nacido y se ha criado en cautividad en el sentido del artículo 8, apartado 3, de ese Reglamento cuando los ascendientes de ese espécimen, los cuales no forman parte del plantel reproductor de ese criador, los adquirió un tercero, antes de la entrada en vigor de los citados Reglamentos, de un modo perjudicial para la supervivencia en la naturaleza de la especie en </w:t>
      </w:r>
      <w:r w:rsidRPr="00364ED0">
        <w:rPr>
          <w:rFonts w:ascii="Arial" w:hAnsi="Arial" w:cs="Arial"/>
          <w:bCs/>
          <w:color w:val="000000"/>
          <w:szCs w:val="24"/>
          <w:lang w:val="es-ES"/>
        </w:rPr>
        <w:t>cuestión”.</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40CF" w14:textId="77777777" w:rsidR="008D46B3" w:rsidRDefault="008D46B3" w:rsidP="00BE68CB">
      <w:pPr>
        <w:spacing w:after="0" w:line="240" w:lineRule="auto"/>
      </w:pPr>
      <w:r>
        <w:separator/>
      </w:r>
    </w:p>
  </w:endnote>
  <w:endnote w:type="continuationSeparator" w:id="0">
    <w:p w14:paraId="0571E51F" w14:textId="77777777" w:rsidR="008D46B3" w:rsidRDefault="008D46B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5AA98923"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C8681A" w:rsidRPr="00B12EB7">
        <w:rPr>
          <w:rStyle w:val="Hipervnculo"/>
          <w:lang w:val="pt-BR"/>
        </w:rPr>
        <w:t>http://dx.doi.org/10.17345/rcda.</w:t>
      </w:r>
      <w:r w:rsidR="00C8681A" w:rsidRPr="00B12EB7">
        <w:rPr>
          <w:rStyle w:val="Hipervnculo"/>
          <w:lang w:val="pt-BR"/>
        </w:rPr>
        <w:t>3417</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9BFC" w14:textId="77777777" w:rsidR="008D46B3" w:rsidRDefault="008D46B3" w:rsidP="00BE68CB">
      <w:pPr>
        <w:spacing w:after="0" w:line="240" w:lineRule="auto"/>
      </w:pPr>
      <w:r>
        <w:separator/>
      </w:r>
    </w:p>
  </w:footnote>
  <w:footnote w:type="continuationSeparator" w:id="0">
    <w:p w14:paraId="09F0A30D" w14:textId="77777777" w:rsidR="008D46B3" w:rsidRDefault="008D46B3" w:rsidP="00BE68CB">
      <w:pPr>
        <w:spacing w:after="0" w:line="240" w:lineRule="auto"/>
      </w:pPr>
      <w:r>
        <w:continuationSeparator/>
      </w:r>
    </w:p>
  </w:footnote>
  <w:footnote w:id="1">
    <w:p w14:paraId="04D57854" w14:textId="77777777" w:rsidR="00A92ACE" w:rsidRPr="00B55AE1" w:rsidRDefault="00A92ACE" w:rsidP="00216820">
      <w:pPr>
        <w:spacing w:after="0" w:line="240" w:lineRule="auto"/>
        <w:rPr>
          <w:rFonts w:eastAsia="Times New Roman" w:cs="Times New Roman"/>
          <w:bCs/>
          <w:sz w:val="20"/>
          <w:szCs w:val="20"/>
          <w:lang w:val="es-ES" w:eastAsia="es-ES"/>
        </w:rPr>
      </w:pPr>
      <w:r w:rsidRPr="00B55AE1">
        <w:rPr>
          <w:rStyle w:val="Refdenotaalpie"/>
          <w:szCs w:val="20"/>
        </w:rPr>
        <w:footnoteRef/>
      </w:r>
      <w:r w:rsidRPr="00B55AE1">
        <w:rPr>
          <w:rFonts w:cs="Times New Roman"/>
          <w:sz w:val="20"/>
          <w:szCs w:val="20"/>
          <w:lang w:val="es-ES"/>
        </w:rPr>
        <w:t xml:space="preserve"> Directiva 2008/50/CE del Parlamento Europeo y del Consejo, de 21 de mayo de 2008, relativa a la calidad del aire ambiente y a una atmósfera más limpia en Europa, DO, L 152, de 21 de mayo de 2008, p. 1.</w:t>
      </w:r>
      <w:r w:rsidRPr="00B55AE1">
        <w:rPr>
          <w:rFonts w:cs="Times New Roman"/>
          <w:bCs/>
          <w:sz w:val="20"/>
          <w:szCs w:val="20"/>
          <w:shd w:val="clear" w:color="auto" w:fill="FFFFFF"/>
          <w:lang w:val="es-ES"/>
        </w:rPr>
        <w:t xml:space="preserve"> </w:t>
      </w:r>
    </w:p>
  </w:footnote>
  <w:footnote w:id="2">
    <w:p w14:paraId="19E905C6" w14:textId="77777777" w:rsidR="002114BD" w:rsidRPr="00B55AE1" w:rsidRDefault="002114BD"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Véanse párrafos 43 y 46.</w:t>
      </w:r>
    </w:p>
  </w:footnote>
  <w:footnote w:id="3">
    <w:p w14:paraId="1B8F4038" w14:textId="77777777" w:rsidR="002114BD" w:rsidRPr="00B55AE1" w:rsidRDefault="002114BD"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Véanse párrafos 69 y 77.</w:t>
      </w:r>
    </w:p>
  </w:footnote>
  <w:footnote w:id="4">
    <w:p w14:paraId="619F5C2A" w14:textId="77777777" w:rsidR="002114BD" w:rsidRPr="00B55AE1" w:rsidRDefault="002114BD" w:rsidP="00216820">
      <w:pPr>
        <w:spacing w:after="0" w:line="240" w:lineRule="auto"/>
        <w:rPr>
          <w:rFonts w:eastAsia="Times New Roman" w:cs="Times New Roman"/>
          <w:bCs/>
          <w:sz w:val="20"/>
          <w:szCs w:val="20"/>
          <w:lang w:val="es-ES" w:eastAsia="es-ES"/>
        </w:rPr>
      </w:pPr>
      <w:r w:rsidRPr="00B55AE1">
        <w:rPr>
          <w:rStyle w:val="Refdenotaalpie"/>
          <w:szCs w:val="20"/>
        </w:rPr>
        <w:footnoteRef/>
      </w:r>
      <w:r w:rsidRPr="00B55AE1">
        <w:rPr>
          <w:rFonts w:cs="Times New Roman"/>
          <w:sz w:val="20"/>
          <w:szCs w:val="20"/>
          <w:lang w:val="es-ES"/>
        </w:rPr>
        <w:t xml:space="preserve"> Directiva 2008/56/CE del Parlamento Europeo y del Consejo, </w:t>
      </w:r>
      <w:r w:rsidRPr="00B55AE1">
        <w:rPr>
          <w:rFonts w:cs="Times New Roman"/>
          <w:bCs/>
          <w:color w:val="000000"/>
          <w:sz w:val="20"/>
          <w:szCs w:val="20"/>
          <w:lang w:val="es-ES"/>
        </w:rPr>
        <w:t>17 de junio de 2008, por la que se establece un marco de acción comunitaria para la política del medio marino (Directiva marco sobre la estrategia marina)</w:t>
      </w:r>
      <w:r w:rsidRPr="00B55AE1">
        <w:rPr>
          <w:rFonts w:cs="Times New Roman"/>
          <w:sz w:val="20"/>
          <w:szCs w:val="20"/>
          <w:lang w:val="es-ES"/>
        </w:rPr>
        <w:t>, DO, L 164, de 25 de junio de 2008, p. 19.</w:t>
      </w:r>
    </w:p>
  </w:footnote>
  <w:footnote w:id="5">
    <w:p w14:paraId="399F9D76" w14:textId="77777777" w:rsidR="002114BD" w:rsidRPr="002114BD" w:rsidRDefault="002114BD" w:rsidP="00216820">
      <w:pPr>
        <w:spacing w:after="0" w:line="240" w:lineRule="auto"/>
        <w:rPr>
          <w:rFonts w:cs="Times New Roman"/>
          <w:sz w:val="20"/>
          <w:szCs w:val="20"/>
          <w:lang w:val="pt-PT"/>
        </w:rPr>
      </w:pPr>
      <w:r w:rsidRPr="00B55AE1">
        <w:rPr>
          <w:rStyle w:val="Refdenotaalpie"/>
          <w:szCs w:val="20"/>
        </w:rPr>
        <w:footnoteRef/>
      </w:r>
      <w:r w:rsidRPr="002114BD">
        <w:rPr>
          <w:rFonts w:cs="Times New Roman"/>
          <w:sz w:val="20"/>
          <w:szCs w:val="20"/>
          <w:lang w:val="pt-PT"/>
        </w:rPr>
        <w:t xml:space="preserve"> </w:t>
      </w:r>
      <w:r w:rsidRPr="002114BD">
        <w:rPr>
          <w:rFonts w:cs="Times New Roman"/>
          <w:sz w:val="20"/>
          <w:szCs w:val="20"/>
          <w:lang w:val="pt-PT"/>
        </w:rPr>
        <w:t>Véase párrafo 49.</w:t>
      </w:r>
    </w:p>
  </w:footnote>
  <w:footnote w:id="6">
    <w:p w14:paraId="3B68886A" w14:textId="77777777" w:rsidR="002114BD" w:rsidRPr="002114BD" w:rsidRDefault="002114BD" w:rsidP="00216820">
      <w:pPr>
        <w:spacing w:after="0" w:line="240" w:lineRule="auto"/>
        <w:rPr>
          <w:rFonts w:cs="Times New Roman"/>
          <w:sz w:val="20"/>
          <w:szCs w:val="20"/>
          <w:lang w:val="pt-PT"/>
        </w:rPr>
      </w:pPr>
      <w:r w:rsidRPr="00B55AE1">
        <w:rPr>
          <w:rStyle w:val="Refdenotaalpie"/>
          <w:szCs w:val="20"/>
        </w:rPr>
        <w:footnoteRef/>
      </w:r>
      <w:r w:rsidRPr="002114BD">
        <w:rPr>
          <w:rFonts w:cs="Times New Roman"/>
          <w:sz w:val="20"/>
          <w:szCs w:val="20"/>
          <w:lang w:val="pt-PT"/>
        </w:rPr>
        <w:t xml:space="preserve"> </w:t>
      </w:r>
      <w:r w:rsidRPr="002114BD">
        <w:rPr>
          <w:rFonts w:cs="Times New Roman"/>
          <w:sz w:val="20"/>
          <w:szCs w:val="20"/>
          <w:lang w:val="pt-PT"/>
        </w:rPr>
        <w:t xml:space="preserve">Véase </w:t>
      </w:r>
      <w:r w:rsidRPr="002114BD">
        <w:rPr>
          <w:rFonts w:cs="Times New Roman"/>
          <w:sz w:val="20"/>
          <w:szCs w:val="20"/>
          <w:lang w:val="pt-PT"/>
        </w:rPr>
        <w:t>párrafo 45.</w:t>
      </w:r>
    </w:p>
  </w:footnote>
  <w:footnote w:id="7">
    <w:p w14:paraId="67DBFCB9" w14:textId="77777777" w:rsidR="00A61B25" w:rsidRPr="00B55AE1" w:rsidRDefault="00A61B25"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Véanse párrafos 60 y 78.</w:t>
      </w:r>
    </w:p>
  </w:footnote>
  <w:footnote w:id="8">
    <w:p w14:paraId="7D7B434F" w14:textId="77777777" w:rsidR="00A61B25" w:rsidRPr="00B55AE1" w:rsidRDefault="00A61B25" w:rsidP="00A61B25">
      <w:pPr>
        <w:spacing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149.</w:t>
      </w:r>
    </w:p>
  </w:footnote>
  <w:footnote w:id="9">
    <w:p w14:paraId="7CD2226F" w14:textId="77777777" w:rsidR="00A61B25" w:rsidRPr="00B55AE1" w:rsidRDefault="00A61B25"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 xml:space="preserve">Directiva 92/43/CEE del Consejo, de 21 de mayo de 1992, relativa a la conservación de los hábitats naturales y de la fauna y flora silvestres, DO, L 206, de 22 de julio de 1992, p. 7; y </w:t>
      </w:r>
      <w:r w:rsidRPr="00B55AE1">
        <w:rPr>
          <w:rFonts w:cs="Times New Roman"/>
          <w:bCs/>
          <w:color w:val="000000"/>
          <w:sz w:val="20"/>
          <w:szCs w:val="20"/>
          <w:lang w:val="es-ES"/>
        </w:rPr>
        <w:t>Directiva 2009/147/CE del Parlamento Europeo y del Consejo, de 30 de noviembre de 2009, relativa a la conservación de las aves silvestres,</w:t>
      </w:r>
      <w:r w:rsidRPr="00B55AE1">
        <w:rPr>
          <w:rFonts w:cs="Times New Roman"/>
          <w:color w:val="000000"/>
          <w:sz w:val="20"/>
          <w:szCs w:val="20"/>
          <w:lang w:val="es-ES"/>
        </w:rPr>
        <w:t xml:space="preserve"> DO, L 20, de 26 de enero de 1992, p. 7.</w:t>
      </w:r>
    </w:p>
  </w:footnote>
  <w:footnote w:id="10">
    <w:p w14:paraId="5E6C2F4B" w14:textId="77777777" w:rsidR="00116F3A" w:rsidRPr="00B55AE1" w:rsidRDefault="00116F3A"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137.</w:t>
      </w:r>
    </w:p>
  </w:footnote>
  <w:footnote w:id="11">
    <w:p w14:paraId="0ED3BC32" w14:textId="77777777" w:rsidR="00C76850" w:rsidRPr="00B55AE1" w:rsidRDefault="00C76850"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Reglamento (UE) n.º 517/2014 del Parlamento Europeo y del Consejo, de 16 de abril de 2014, sobre los gases fluorados de efecto invernadero y por el que se deroga el Reglamento (CE) n.º 842/2006, DO, L 150, de 20 de mayo de 2014, p. 195.</w:t>
      </w:r>
    </w:p>
  </w:footnote>
  <w:footnote w:id="12">
    <w:p w14:paraId="6B9CCF63" w14:textId="77777777" w:rsidR="00510D41" w:rsidRPr="00B55AE1" w:rsidRDefault="00510D41"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Véanse párrafos 29, 30, 33 y 34.</w:t>
      </w:r>
    </w:p>
  </w:footnote>
  <w:footnote w:id="13">
    <w:p w14:paraId="79CD0C89" w14:textId="77777777" w:rsidR="00510D41" w:rsidRPr="00B55AE1" w:rsidRDefault="00510D41"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43.</w:t>
      </w:r>
    </w:p>
  </w:footnote>
  <w:footnote w:id="14">
    <w:p w14:paraId="4A66E279" w14:textId="77777777" w:rsidR="00510D41" w:rsidRPr="00B55AE1" w:rsidRDefault="00510D41"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60.</w:t>
      </w:r>
    </w:p>
  </w:footnote>
  <w:footnote w:id="15">
    <w:p w14:paraId="64FAA0F3" w14:textId="77777777" w:rsidR="00041335" w:rsidRPr="00B55AE1" w:rsidRDefault="00041335" w:rsidP="00216820">
      <w:pPr>
        <w:spacing w:after="0" w:line="240" w:lineRule="auto"/>
        <w:rPr>
          <w:rFonts w:eastAsia="Times New Roman" w:cs="Times New Roman"/>
          <w:sz w:val="20"/>
          <w:szCs w:val="20"/>
          <w:lang w:val="es-ES" w:eastAsia="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Directiva 2000/60/CE del Parlamento Europeo y del Consejo, de 23 de octubre de 2000, por la que se establece un marco comunitario de actuación en el ámbito de la política de aguas, DO, L 327, de 22 de diciembre de 2000, p. 1</w:t>
      </w:r>
      <w:r w:rsidRPr="00B55AE1">
        <w:rPr>
          <w:rFonts w:cs="Times New Roman"/>
          <w:sz w:val="20"/>
          <w:szCs w:val="20"/>
          <w:lang w:val="es-ES"/>
        </w:rPr>
        <w:t>.</w:t>
      </w:r>
    </w:p>
  </w:footnote>
  <w:footnote w:id="16">
    <w:p w14:paraId="60BF10C2" w14:textId="77777777" w:rsidR="004A302D" w:rsidRPr="00B55AE1" w:rsidRDefault="004A302D"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Véanse párrafos 2 y 21.</w:t>
      </w:r>
    </w:p>
  </w:footnote>
  <w:footnote w:id="17">
    <w:p w14:paraId="18A42E6C" w14:textId="77777777" w:rsidR="004F238B" w:rsidRPr="00B55AE1" w:rsidRDefault="004F238B"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43.</w:t>
      </w:r>
    </w:p>
  </w:footnote>
  <w:footnote w:id="18">
    <w:p w14:paraId="40241A67" w14:textId="77777777" w:rsidR="00E96FCB" w:rsidRPr="00B55AE1" w:rsidRDefault="00E96FCB"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Véase párrafo 44.</w:t>
      </w:r>
    </w:p>
  </w:footnote>
  <w:footnote w:id="19">
    <w:p w14:paraId="55419BB6" w14:textId="77777777" w:rsidR="00E43062" w:rsidRPr="00B55AE1" w:rsidRDefault="00E43062"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Directiva 2010/75/UE del Parlamento Europeo y del Consejo, de 24 de noviembre de 2010, sobre las emisiones industriales (prevención y control integrados de la contaminación), DO, L 334, de 17 de diciembre de 2010, p. 17</w:t>
      </w:r>
      <w:r w:rsidRPr="00B55AE1">
        <w:rPr>
          <w:rStyle w:val="nfasis"/>
          <w:rFonts w:cs="Times New Roman"/>
          <w:sz w:val="20"/>
          <w:szCs w:val="20"/>
          <w:lang w:val="es-ES"/>
        </w:rPr>
        <w:t>.</w:t>
      </w:r>
    </w:p>
  </w:footnote>
  <w:footnote w:id="20">
    <w:p w14:paraId="50FF6B82" w14:textId="77777777" w:rsidR="00E43062" w:rsidRPr="00B55AE1" w:rsidRDefault="00E43062" w:rsidP="00216820">
      <w:pPr>
        <w:pStyle w:val="Textonotapie"/>
        <w:spacing w:after="0"/>
      </w:pPr>
      <w:r w:rsidRPr="00B55AE1">
        <w:rPr>
          <w:rStyle w:val="Refdenotaalpie"/>
        </w:rPr>
        <w:footnoteRef/>
      </w:r>
      <w:r w:rsidRPr="00B55AE1">
        <w:t xml:space="preserve"> Véase párrafo 29.</w:t>
      </w:r>
    </w:p>
  </w:footnote>
  <w:footnote w:id="21">
    <w:p w14:paraId="4024A854" w14:textId="77777777" w:rsidR="00785A61" w:rsidRPr="00B55AE1" w:rsidRDefault="00785A61" w:rsidP="00216820">
      <w:pPr>
        <w:spacing w:after="0" w:line="240" w:lineRule="auto"/>
        <w:rPr>
          <w:rFonts w:cs="Times New Roman"/>
          <w:sz w:val="20"/>
          <w:szCs w:val="20"/>
          <w:lang w:val="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Directiva 2001/18/CE del Parlamento Europeo y del Consejo, de 12 de marzo de 2001, sobre la liberación intencional en el medio ambiente de organismos modificados genéticamente y por la que se deroga la Directiva 90/220/CEE del Consejo, DO, L 106, de 17 de abril de 2001, p. 1; Reglamento (CE) n.º 1829/2003 del Parlamento Europeo y del Consejo, de 22 de septiembre de 2003, DO, L 268, de</w:t>
      </w:r>
      <w:r w:rsidRPr="00B55AE1">
        <w:rPr>
          <w:rFonts w:cs="Times New Roman"/>
          <w:sz w:val="20"/>
          <w:szCs w:val="20"/>
          <w:lang w:val="es-ES"/>
        </w:rPr>
        <w:t xml:space="preserve"> 18 de octubre de</w:t>
      </w:r>
      <w:r w:rsidRPr="00B55AE1">
        <w:rPr>
          <w:rFonts w:cs="Times New Roman"/>
          <w:color w:val="000000"/>
          <w:sz w:val="20"/>
          <w:szCs w:val="20"/>
          <w:lang w:val="es-ES"/>
        </w:rPr>
        <w:t xml:space="preserve"> 2003, p. 1; y Recomendación de la Comisión, de 13 de julio de 2010, sobre directrices para el desarrollo de medidas nacionales de coexistencia destinadas a evitar la presencia accidental de OMG en cultivos convencionales y ecológicos, DO, C 200/1, de 22 de julio de 2010, p. 1.</w:t>
      </w:r>
    </w:p>
  </w:footnote>
  <w:footnote w:id="22">
    <w:p w14:paraId="595A6A7E" w14:textId="77777777" w:rsidR="00785A61" w:rsidRPr="00B55AE1" w:rsidRDefault="00785A61" w:rsidP="00216820">
      <w:pPr>
        <w:pStyle w:val="Textonotapie"/>
        <w:spacing w:after="0"/>
      </w:pPr>
      <w:r w:rsidRPr="00B55AE1">
        <w:rPr>
          <w:rStyle w:val="Refdenotaalpie"/>
        </w:rPr>
        <w:footnoteRef/>
      </w:r>
      <w:r w:rsidRPr="00B55AE1">
        <w:t xml:space="preserve"> Véase párrafo 29.</w:t>
      </w:r>
    </w:p>
  </w:footnote>
  <w:footnote w:id="23">
    <w:p w14:paraId="75FAFA02" w14:textId="77777777" w:rsidR="00364ED0" w:rsidRPr="00B55AE1" w:rsidRDefault="00364ED0" w:rsidP="00364ED0">
      <w:pPr>
        <w:spacing w:line="240" w:lineRule="auto"/>
        <w:rPr>
          <w:rFonts w:cs="Times New Roman"/>
          <w:bCs/>
          <w:sz w:val="20"/>
          <w:szCs w:val="20"/>
          <w:vertAlign w:val="superscript"/>
          <w:lang w:val="es-ES"/>
        </w:rPr>
      </w:pPr>
      <w:r w:rsidRPr="00B55AE1">
        <w:rPr>
          <w:rStyle w:val="Refdenotaalpie"/>
          <w:szCs w:val="20"/>
        </w:rPr>
        <w:footnoteRef/>
      </w:r>
      <w:r w:rsidRPr="00B55AE1">
        <w:rPr>
          <w:rFonts w:cs="Times New Roman"/>
          <w:sz w:val="20"/>
          <w:szCs w:val="20"/>
          <w:lang w:val="es-ES"/>
        </w:rPr>
        <w:t xml:space="preserve"> </w:t>
      </w:r>
      <w:r w:rsidRPr="00B55AE1">
        <w:rPr>
          <w:rFonts w:cs="Times New Roman"/>
          <w:color w:val="000000"/>
          <w:sz w:val="20"/>
          <w:szCs w:val="20"/>
          <w:lang w:val="es-ES"/>
        </w:rPr>
        <w:t>Reglamento (CE) n.º 865/2006 de la Comisión, de 4 de mayo de 2006, por el que se establecen disposiciones de aplicación del Reglamento (CE) n.º 338/97 del Consejo relativo a la protección de especies de la fauna y flora silvestres mediante el control de su comercio, DO, L 166, de 19 de junio de 2006, p. 1.</w:t>
      </w:r>
    </w:p>
  </w:footnote>
  <w:footnote w:id="24">
    <w:p w14:paraId="3856114B" w14:textId="77777777" w:rsidR="00364ED0" w:rsidRPr="00B55AE1" w:rsidRDefault="00364ED0" w:rsidP="00364ED0">
      <w:pPr>
        <w:pStyle w:val="Textonotapie"/>
      </w:pPr>
      <w:r w:rsidRPr="00B55AE1">
        <w:rPr>
          <w:rStyle w:val="Refdenotaalpie"/>
        </w:rPr>
        <w:footnoteRef/>
      </w:r>
      <w:r w:rsidRPr="00B55AE1">
        <w:t xml:space="preserve"> Véase párrafo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7E134EF0" w:rsidR="006127B4" w:rsidRPr="00A97BD8" w:rsidRDefault="00C8681A">
    <w:pPr>
      <w:pStyle w:val="Encabezado"/>
    </w:pPr>
    <w:r>
      <w:t>R</w:t>
    </w:r>
    <w:r w:rsidR="006127B4">
      <w:t xml:space="preserve">. </w:t>
    </w:r>
    <w:r w:rsidRPr="00C8681A">
      <w:t>Giles Carnero</w:t>
    </w:r>
    <w:r w:rsidR="006127B4">
      <w:tab/>
    </w:r>
    <w:r w:rsidR="006127B4">
      <w:tab/>
    </w:r>
    <w:r w:rsidR="006127B4">
      <w:rPr>
        <w:i/>
      </w:rPr>
      <w:t xml:space="preserve">RCDA </w:t>
    </w:r>
    <w:r w:rsidR="006127B4">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4D9A4340" w:rsidR="006127B4" w:rsidRPr="00C8681A" w:rsidRDefault="006127B4">
    <w:pPr>
      <w:pStyle w:val="Encabezado"/>
      <w:rPr>
        <w:lang w:val="es-ES"/>
      </w:rPr>
    </w:pPr>
    <w:r w:rsidRPr="000128E0">
      <w:rPr>
        <w:i/>
        <w:lang w:val="pt-BR"/>
      </w:rPr>
      <w:t>RCDA</w:t>
    </w:r>
    <w:r w:rsidRPr="000128E0">
      <w:rPr>
        <w:lang w:val="pt-BR"/>
      </w:rPr>
      <w:t xml:space="preserve"> Vol. </w:t>
    </w:r>
    <w:r w:rsidR="006F57AE" w:rsidRPr="00C8681A">
      <w:rPr>
        <w:lang w:val="es-ES"/>
      </w:rPr>
      <w:t>X</w:t>
    </w:r>
    <w:r w:rsidR="006B3FFD" w:rsidRPr="00C8681A">
      <w:rPr>
        <w:lang w:val="es-ES"/>
      </w:rPr>
      <w:t>III</w:t>
    </w:r>
    <w:r w:rsidRPr="00C8681A">
      <w:rPr>
        <w:lang w:val="es-ES"/>
      </w:rPr>
      <w:t xml:space="preserve"> Núm. </w:t>
    </w:r>
    <w:r w:rsidR="006B3FFD" w:rsidRPr="00C8681A">
      <w:rPr>
        <w:lang w:val="es-ES"/>
      </w:rPr>
      <w:t>2</w:t>
    </w:r>
    <w:r w:rsidRPr="00C8681A">
      <w:rPr>
        <w:lang w:val="es-ES"/>
      </w:rPr>
      <w:t xml:space="preserve"> (20</w:t>
    </w:r>
    <w:r w:rsidR="006B3FFD" w:rsidRPr="00C8681A">
      <w:rPr>
        <w:lang w:val="es-ES"/>
      </w:rPr>
      <w:t>22</w:t>
    </w:r>
    <w:r w:rsidRPr="00C8681A">
      <w:rPr>
        <w:lang w:val="es-ES"/>
      </w:rPr>
      <w:t>)</w:t>
    </w:r>
    <w:r w:rsidRPr="00C8681A">
      <w:rPr>
        <w:lang w:val="es-ES"/>
      </w:rPr>
      <w:tab/>
    </w:r>
    <w:r w:rsidRPr="00C8681A">
      <w:rPr>
        <w:lang w:val="es-ES"/>
      </w:rPr>
      <w:tab/>
    </w:r>
    <w:proofErr w:type="spellStart"/>
    <w:r w:rsidR="00C8681A" w:rsidRPr="00C8681A">
      <w:rPr>
        <w:lang w:val="es-ES"/>
      </w:rPr>
      <w:t>Juris</w:t>
    </w:r>
    <w:proofErr w:type="spellEnd"/>
    <w:r w:rsidR="00C8681A" w:rsidRPr="00C8681A">
      <w:rPr>
        <w:lang w:val="es-ES"/>
      </w:rPr>
      <w:t xml:space="preserve"> </w:t>
    </w:r>
    <w:proofErr w:type="spellStart"/>
    <w:r w:rsidR="00C8681A" w:rsidRPr="00C8681A">
      <w:rPr>
        <w:lang w:val="es-ES"/>
      </w:rPr>
      <w:t>Ambien</w:t>
    </w:r>
    <w:proofErr w:type="spellEnd"/>
    <w:r w:rsidR="00C8681A" w:rsidRPr="00C8681A">
      <w:rPr>
        <w:lang w:val="es-ES"/>
      </w:rPr>
      <w:t xml:space="preserve"> Unión E</w:t>
    </w:r>
    <w:r w:rsidR="00C8681A">
      <w:rPr>
        <w:lang w:val="es-ES"/>
      </w:rPr>
      <w:t>uropea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0B0E42D5"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216820">
      <w:t>11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1335"/>
    <w:rsid w:val="000458B7"/>
    <w:rsid w:val="00045BEC"/>
    <w:rsid w:val="00050D92"/>
    <w:rsid w:val="00057E4C"/>
    <w:rsid w:val="000620B9"/>
    <w:rsid w:val="00087953"/>
    <w:rsid w:val="0009571B"/>
    <w:rsid w:val="000D2E05"/>
    <w:rsid w:val="00107A76"/>
    <w:rsid w:val="00116F3A"/>
    <w:rsid w:val="001421DD"/>
    <w:rsid w:val="001746E8"/>
    <w:rsid w:val="00174DC1"/>
    <w:rsid w:val="00174F50"/>
    <w:rsid w:val="001826D6"/>
    <w:rsid w:val="00192736"/>
    <w:rsid w:val="001A4A45"/>
    <w:rsid w:val="001B1D26"/>
    <w:rsid w:val="001B6829"/>
    <w:rsid w:val="001D3552"/>
    <w:rsid w:val="001D7F04"/>
    <w:rsid w:val="001F1932"/>
    <w:rsid w:val="00204909"/>
    <w:rsid w:val="002114BD"/>
    <w:rsid w:val="00216820"/>
    <w:rsid w:val="002324B1"/>
    <w:rsid w:val="002339BA"/>
    <w:rsid w:val="002640EB"/>
    <w:rsid w:val="002668C7"/>
    <w:rsid w:val="00274E5F"/>
    <w:rsid w:val="0028311E"/>
    <w:rsid w:val="00290105"/>
    <w:rsid w:val="002A595F"/>
    <w:rsid w:val="002A7252"/>
    <w:rsid w:val="002C5BC0"/>
    <w:rsid w:val="002D6792"/>
    <w:rsid w:val="00311E72"/>
    <w:rsid w:val="00321C9B"/>
    <w:rsid w:val="0034098C"/>
    <w:rsid w:val="00351202"/>
    <w:rsid w:val="00364ED0"/>
    <w:rsid w:val="00372E91"/>
    <w:rsid w:val="003746FD"/>
    <w:rsid w:val="00375898"/>
    <w:rsid w:val="003774FD"/>
    <w:rsid w:val="003B21C0"/>
    <w:rsid w:val="003C7912"/>
    <w:rsid w:val="00403EFF"/>
    <w:rsid w:val="00404419"/>
    <w:rsid w:val="004064AB"/>
    <w:rsid w:val="004307AF"/>
    <w:rsid w:val="00442B87"/>
    <w:rsid w:val="00475E9B"/>
    <w:rsid w:val="0049512B"/>
    <w:rsid w:val="004A302D"/>
    <w:rsid w:val="004C2E75"/>
    <w:rsid w:val="004F238B"/>
    <w:rsid w:val="004F7290"/>
    <w:rsid w:val="005061B9"/>
    <w:rsid w:val="0051069A"/>
    <w:rsid w:val="00510D41"/>
    <w:rsid w:val="00514FE2"/>
    <w:rsid w:val="005872FE"/>
    <w:rsid w:val="00595D3E"/>
    <w:rsid w:val="005A0B33"/>
    <w:rsid w:val="005B2F0F"/>
    <w:rsid w:val="005C7495"/>
    <w:rsid w:val="0060053C"/>
    <w:rsid w:val="006127B4"/>
    <w:rsid w:val="006249A1"/>
    <w:rsid w:val="0063330B"/>
    <w:rsid w:val="00646563"/>
    <w:rsid w:val="0064789B"/>
    <w:rsid w:val="00663F44"/>
    <w:rsid w:val="00687F3D"/>
    <w:rsid w:val="006A14FA"/>
    <w:rsid w:val="006B3FFD"/>
    <w:rsid w:val="006C3ECE"/>
    <w:rsid w:val="006F57AE"/>
    <w:rsid w:val="007028BF"/>
    <w:rsid w:val="00720A6B"/>
    <w:rsid w:val="00740B4F"/>
    <w:rsid w:val="00745F31"/>
    <w:rsid w:val="00770E8A"/>
    <w:rsid w:val="00781131"/>
    <w:rsid w:val="00785617"/>
    <w:rsid w:val="00785A61"/>
    <w:rsid w:val="00786E15"/>
    <w:rsid w:val="00793223"/>
    <w:rsid w:val="007A447C"/>
    <w:rsid w:val="007B0370"/>
    <w:rsid w:val="007B2FCD"/>
    <w:rsid w:val="007B41A0"/>
    <w:rsid w:val="007C1B89"/>
    <w:rsid w:val="007F546E"/>
    <w:rsid w:val="00807224"/>
    <w:rsid w:val="00863B04"/>
    <w:rsid w:val="00892136"/>
    <w:rsid w:val="008A42FC"/>
    <w:rsid w:val="008B5B37"/>
    <w:rsid w:val="008C2BF5"/>
    <w:rsid w:val="008D46B3"/>
    <w:rsid w:val="008D78BC"/>
    <w:rsid w:val="008D7A5C"/>
    <w:rsid w:val="009009F4"/>
    <w:rsid w:val="0091123C"/>
    <w:rsid w:val="00917857"/>
    <w:rsid w:val="00926003"/>
    <w:rsid w:val="009453B6"/>
    <w:rsid w:val="0095362E"/>
    <w:rsid w:val="00953DA4"/>
    <w:rsid w:val="009A6C3B"/>
    <w:rsid w:val="009B0871"/>
    <w:rsid w:val="009B69EC"/>
    <w:rsid w:val="009C619A"/>
    <w:rsid w:val="009D4065"/>
    <w:rsid w:val="009D5AF5"/>
    <w:rsid w:val="009F042D"/>
    <w:rsid w:val="009F36C9"/>
    <w:rsid w:val="00A10B3F"/>
    <w:rsid w:val="00A13C73"/>
    <w:rsid w:val="00A25AC6"/>
    <w:rsid w:val="00A3309C"/>
    <w:rsid w:val="00A50955"/>
    <w:rsid w:val="00A61B25"/>
    <w:rsid w:val="00A70C5E"/>
    <w:rsid w:val="00A92ACE"/>
    <w:rsid w:val="00A97BD8"/>
    <w:rsid w:val="00AA12F4"/>
    <w:rsid w:val="00AA6F54"/>
    <w:rsid w:val="00AC520F"/>
    <w:rsid w:val="00AD62B2"/>
    <w:rsid w:val="00B01412"/>
    <w:rsid w:val="00B04513"/>
    <w:rsid w:val="00B40D93"/>
    <w:rsid w:val="00B4268C"/>
    <w:rsid w:val="00B472B0"/>
    <w:rsid w:val="00B64CA9"/>
    <w:rsid w:val="00BA2806"/>
    <w:rsid w:val="00BC1BB3"/>
    <w:rsid w:val="00BD232E"/>
    <w:rsid w:val="00BD4FF3"/>
    <w:rsid w:val="00BE2972"/>
    <w:rsid w:val="00BE4343"/>
    <w:rsid w:val="00BE68CB"/>
    <w:rsid w:val="00BF31E0"/>
    <w:rsid w:val="00BF37BB"/>
    <w:rsid w:val="00BF52B5"/>
    <w:rsid w:val="00C25669"/>
    <w:rsid w:val="00C2753C"/>
    <w:rsid w:val="00C34CCB"/>
    <w:rsid w:val="00C47218"/>
    <w:rsid w:val="00C51BF3"/>
    <w:rsid w:val="00C76850"/>
    <w:rsid w:val="00C8681A"/>
    <w:rsid w:val="00CB043D"/>
    <w:rsid w:val="00CC2115"/>
    <w:rsid w:val="00CD129E"/>
    <w:rsid w:val="00CF00B9"/>
    <w:rsid w:val="00D15CF3"/>
    <w:rsid w:val="00D30004"/>
    <w:rsid w:val="00D30429"/>
    <w:rsid w:val="00D46B04"/>
    <w:rsid w:val="00D54CF1"/>
    <w:rsid w:val="00D70D6A"/>
    <w:rsid w:val="00D83C19"/>
    <w:rsid w:val="00DC1B9F"/>
    <w:rsid w:val="00DD3CC8"/>
    <w:rsid w:val="00DF5C97"/>
    <w:rsid w:val="00DF642B"/>
    <w:rsid w:val="00E1419A"/>
    <w:rsid w:val="00E41CB2"/>
    <w:rsid w:val="00E43062"/>
    <w:rsid w:val="00E4506D"/>
    <w:rsid w:val="00E66E9A"/>
    <w:rsid w:val="00E87BD6"/>
    <w:rsid w:val="00E96FCB"/>
    <w:rsid w:val="00EA33EB"/>
    <w:rsid w:val="00EB7827"/>
    <w:rsid w:val="00EF5A78"/>
    <w:rsid w:val="00F26ED6"/>
    <w:rsid w:val="00F342E5"/>
    <w:rsid w:val="00F36B5C"/>
    <w:rsid w:val="00F45314"/>
    <w:rsid w:val="00F57D6F"/>
    <w:rsid w:val="00F6520E"/>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qFormat/>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nfasis">
    <w:name w:val="Emphasis"/>
    <w:basedOn w:val="Fuentedeprrafopredeter"/>
    <w:uiPriority w:val="20"/>
    <w:qFormat/>
    <w:rsid w:val="00E43062"/>
    <w:rPr>
      <w:i/>
      <w:iCs/>
    </w:rPr>
  </w:style>
  <w:style w:type="character" w:styleId="Mencinsinresolver">
    <w:name w:val="Unresolved Mention"/>
    <w:basedOn w:val="Fuentedeprrafopredeter"/>
    <w:uiPriority w:val="99"/>
    <w:semiHidden/>
    <w:unhideWhenUsed/>
    <w:rsid w:val="00C8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F4EEB55E64A41B9EB95A5BF8BA645"/>
        <w:category>
          <w:name w:val="General"/>
          <w:gallery w:val="placeholder"/>
        </w:category>
        <w:types>
          <w:type w:val="bbPlcHdr"/>
        </w:types>
        <w:behaviors>
          <w:behavior w:val="content"/>
        </w:behaviors>
        <w:guid w:val="{2E449475-99F1-5B4F-A35B-DA0E8D939378}"/>
      </w:docPartPr>
      <w:docPartBody>
        <w:p w:rsidR="00A47176" w:rsidRDefault="00A47176" w:rsidP="00A47176">
          <w:pPr>
            <w:pStyle w:val="A70F4EEB55E64A41B9EB95A5BF8BA64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8F6DFD3443FF64FA58DF92C8CE9EDA1"/>
        <w:category>
          <w:name w:val="General"/>
          <w:gallery w:val="placeholder"/>
        </w:category>
        <w:types>
          <w:type w:val="bbPlcHdr"/>
        </w:types>
        <w:behaviors>
          <w:behavior w:val="content"/>
        </w:behaviors>
        <w:guid w:val="{7B6CA2B1-1A4B-E644-8BD5-58C7EDE235A0}"/>
      </w:docPartPr>
      <w:docPartBody>
        <w:p w:rsidR="00A47176" w:rsidRDefault="00A47176" w:rsidP="00A47176">
          <w:pPr>
            <w:pStyle w:val="B8F6DFD3443FF64FA58DF92C8CE9EDA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BD9D24B17FF417981FB8661B5F799C3"/>
        <w:category>
          <w:name w:val="General"/>
          <w:gallery w:val="placeholder"/>
        </w:category>
        <w:types>
          <w:type w:val="bbPlcHdr"/>
        </w:types>
        <w:behaviors>
          <w:behavior w:val="content"/>
        </w:behaviors>
        <w:guid w:val="{E442C54C-1C0C-4DD3-A734-667ED9E516A7}"/>
      </w:docPartPr>
      <w:docPartBody>
        <w:p w:rsidR="00000000" w:rsidRDefault="007B722E" w:rsidP="007B722E">
          <w:pPr>
            <w:pStyle w:val="6BD9D24B17FF417981FB8661B5F799C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C7B3794610B4016AE9C9BE737084DB3"/>
        <w:category>
          <w:name w:val="General"/>
          <w:gallery w:val="placeholder"/>
        </w:category>
        <w:types>
          <w:type w:val="bbPlcHdr"/>
        </w:types>
        <w:behaviors>
          <w:behavior w:val="content"/>
        </w:behaviors>
        <w:guid w:val="{95FFD827-E797-4FE6-881C-FD33A6D6BD32}"/>
      </w:docPartPr>
      <w:docPartBody>
        <w:p w:rsidR="00000000" w:rsidRDefault="007B722E" w:rsidP="007B722E">
          <w:pPr>
            <w:pStyle w:val="8C7B3794610B4016AE9C9BE737084DB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7113ED"/>
    <w:rsid w:val="007207C5"/>
    <w:rsid w:val="007B722E"/>
    <w:rsid w:val="00A33D8A"/>
    <w:rsid w:val="00A47176"/>
    <w:rsid w:val="00BE4980"/>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FEC054166C474EC4BF3448A69883A439">
    <w:name w:val="FEC054166C474EC4BF3448A69883A439"/>
    <w:rsid w:val="007B722E"/>
    <w:pPr>
      <w:spacing w:after="160" w:line="259" w:lineRule="auto"/>
    </w:pPr>
    <w:rPr>
      <w:sz w:val="22"/>
      <w:szCs w:val="22"/>
      <w:lang w:eastAsia="es-ES"/>
    </w:rPr>
  </w:style>
  <w:style w:type="paragraph" w:customStyle="1" w:styleId="2535B54E69EC447383485B9105C13642">
    <w:name w:val="2535B54E69EC447383485B9105C13642"/>
    <w:rsid w:val="007B722E"/>
    <w:pPr>
      <w:spacing w:after="160" w:line="259" w:lineRule="auto"/>
    </w:pPr>
    <w:rPr>
      <w:sz w:val="22"/>
      <w:szCs w:val="22"/>
      <w:lang w:eastAsia="es-ES"/>
    </w:rPr>
  </w:style>
  <w:style w:type="paragraph" w:customStyle="1" w:styleId="D58BB6AF923E487490882C3474655A5E">
    <w:name w:val="D58BB6AF923E487490882C3474655A5E"/>
    <w:rsid w:val="007B722E"/>
    <w:pPr>
      <w:spacing w:after="160" w:line="259" w:lineRule="auto"/>
    </w:pPr>
    <w:rPr>
      <w:sz w:val="22"/>
      <w:szCs w:val="22"/>
      <w:lang w:eastAsia="es-ES"/>
    </w:rPr>
  </w:style>
  <w:style w:type="paragraph" w:customStyle="1" w:styleId="4D74778EC49C4B92BEBE1AE52A109C06">
    <w:name w:val="4D74778EC49C4B92BEBE1AE52A109C06"/>
    <w:rsid w:val="007B722E"/>
    <w:pPr>
      <w:spacing w:after="160" w:line="259" w:lineRule="auto"/>
    </w:pPr>
    <w:rPr>
      <w:sz w:val="22"/>
      <w:szCs w:val="22"/>
      <w:lang w:eastAsia="es-ES"/>
    </w:rPr>
  </w:style>
  <w:style w:type="paragraph" w:customStyle="1" w:styleId="024D22F2BBC74778B3B5E8184EB7E41B">
    <w:name w:val="024D22F2BBC74778B3B5E8184EB7E41B"/>
    <w:rsid w:val="007B722E"/>
    <w:pPr>
      <w:spacing w:after="160" w:line="259" w:lineRule="auto"/>
    </w:pPr>
    <w:rPr>
      <w:sz w:val="22"/>
      <w:szCs w:val="22"/>
      <w:lang w:eastAsia="es-ES"/>
    </w:rPr>
  </w:style>
  <w:style w:type="paragraph" w:customStyle="1" w:styleId="4024AB8B8C194F818B4CA80ED233FC6F">
    <w:name w:val="4024AB8B8C194F818B4CA80ED233FC6F"/>
    <w:rsid w:val="007B722E"/>
    <w:pPr>
      <w:spacing w:after="160" w:line="259" w:lineRule="auto"/>
    </w:pPr>
    <w:rPr>
      <w:sz w:val="22"/>
      <w:szCs w:val="22"/>
      <w:lang w:eastAsia="es-ES"/>
    </w:rPr>
  </w:style>
  <w:style w:type="paragraph" w:customStyle="1" w:styleId="60AF8D54F9C347C08C5A805CBF5BF689">
    <w:name w:val="60AF8D54F9C347C08C5A805CBF5BF689"/>
    <w:rsid w:val="007B722E"/>
    <w:pPr>
      <w:spacing w:after="160" w:line="259" w:lineRule="auto"/>
    </w:pPr>
    <w:rPr>
      <w:sz w:val="22"/>
      <w:szCs w:val="22"/>
      <w:lang w:eastAsia="es-ES"/>
    </w:rPr>
  </w:style>
  <w:style w:type="paragraph" w:customStyle="1" w:styleId="802A4196DA4A4EFA82E4B5FC3A7A69D2">
    <w:name w:val="802A4196DA4A4EFA82E4B5FC3A7A69D2"/>
    <w:rsid w:val="007B722E"/>
    <w:pPr>
      <w:spacing w:after="160" w:line="259" w:lineRule="auto"/>
    </w:pPr>
    <w:rPr>
      <w:sz w:val="22"/>
      <w:szCs w:val="22"/>
      <w:lang w:eastAsia="es-ES"/>
    </w:rPr>
  </w:style>
  <w:style w:type="paragraph" w:customStyle="1" w:styleId="96FD44E044D346098657134661834A83">
    <w:name w:val="96FD44E044D346098657134661834A83"/>
    <w:rsid w:val="007B722E"/>
    <w:pPr>
      <w:spacing w:after="160" w:line="259" w:lineRule="auto"/>
    </w:pPr>
    <w:rPr>
      <w:sz w:val="22"/>
      <w:szCs w:val="22"/>
      <w:lang w:eastAsia="es-ES"/>
    </w:rPr>
  </w:style>
  <w:style w:type="paragraph" w:customStyle="1" w:styleId="F2221740D1FE45168DC0D494904B96A9">
    <w:name w:val="F2221740D1FE45168DC0D494904B96A9"/>
    <w:rsid w:val="007B722E"/>
    <w:pPr>
      <w:spacing w:after="160" w:line="259" w:lineRule="auto"/>
    </w:pPr>
    <w:rPr>
      <w:sz w:val="22"/>
      <w:szCs w:val="22"/>
      <w:lang w:eastAsia="es-ES"/>
    </w:rPr>
  </w:style>
  <w:style w:type="paragraph" w:customStyle="1" w:styleId="4C3D4A4319FC4E59A1ACFE83679C3475">
    <w:name w:val="4C3D4A4319FC4E59A1ACFE83679C3475"/>
    <w:rsid w:val="007B722E"/>
    <w:pPr>
      <w:spacing w:after="160" w:line="259" w:lineRule="auto"/>
    </w:pPr>
    <w:rPr>
      <w:sz w:val="22"/>
      <w:szCs w:val="22"/>
      <w:lang w:eastAsia="es-ES"/>
    </w:rPr>
  </w:style>
  <w:style w:type="paragraph" w:customStyle="1" w:styleId="8EB5A5A4480744F79DADCE0505F2ADF6">
    <w:name w:val="8EB5A5A4480744F79DADCE0505F2ADF6"/>
    <w:rsid w:val="007B722E"/>
    <w:pPr>
      <w:spacing w:after="160" w:line="259" w:lineRule="auto"/>
    </w:pPr>
    <w:rPr>
      <w:sz w:val="22"/>
      <w:szCs w:val="22"/>
      <w:lang w:eastAsia="es-ES"/>
    </w:rPr>
  </w:style>
  <w:style w:type="paragraph" w:customStyle="1" w:styleId="C3598C2E0BAB4DADBB5852D12E167663">
    <w:name w:val="C3598C2E0BAB4DADBB5852D12E167663"/>
    <w:rsid w:val="007B722E"/>
    <w:pPr>
      <w:spacing w:after="160" w:line="259" w:lineRule="auto"/>
    </w:pPr>
    <w:rPr>
      <w:sz w:val="22"/>
      <w:szCs w:val="22"/>
      <w:lang w:eastAsia="es-ES"/>
    </w:rPr>
  </w:style>
  <w:style w:type="paragraph" w:customStyle="1" w:styleId="B5574CA279EC4BB2B5A5430D54AB160E">
    <w:name w:val="B5574CA279EC4BB2B5A5430D54AB160E"/>
    <w:rsid w:val="007B722E"/>
    <w:pPr>
      <w:spacing w:after="160" w:line="259" w:lineRule="auto"/>
    </w:pPr>
    <w:rPr>
      <w:sz w:val="22"/>
      <w:szCs w:val="22"/>
      <w:lang w:eastAsia="es-ES"/>
    </w:rPr>
  </w:style>
  <w:style w:type="paragraph" w:customStyle="1" w:styleId="B51296A51FC94A2180791F0DAD563811">
    <w:name w:val="B51296A51FC94A2180791F0DAD563811"/>
    <w:rsid w:val="007B722E"/>
    <w:pPr>
      <w:spacing w:after="160" w:line="259" w:lineRule="auto"/>
    </w:pPr>
    <w:rPr>
      <w:sz w:val="22"/>
      <w:szCs w:val="22"/>
      <w:lang w:eastAsia="es-ES"/>
    </w:rPr>
  </w:style>
  <w:style w:type="paragraph" w:customStyle="1" w:styleId="31C7A3C8BA2E49C295C90C0C459F7808">
    <w:name w:val="31C7A3C8BA2E49C295C90C0C459F7808"/>
    <w:rsid w:val="007B722E"/>
    <w:pPr>
      <w:spacing w:after="160" w:line="259" w:lineRule="auto"/>
    </w:pPr>
    <w:rPr>
      <w:sz w:val="22"/>
      <w:szCs w:val="22"/>
      <w:lang w:eastAsia="es-ES"/>
    </w:rPr>
  </w:style>
  <w:style w:type="paragraph" w:customStyle="1" w:styleId="B40109D7E41644D59CFB1FF96118207D">
    <w:name w:val="B40109D7E41644D59CFB1FF96118207D"/>
    <w:rsid w:val="007B722E"/>
    <w:pPr>
      <w:spacing w:after="160" w:line="259" w:lineRule="auto"/>
    </w:pPr>
    <w:rPr>
      <w:sz w:val="22"/>
      <w:szCs w:val="22"/>
      <w:lang w:eastAsia="es-ES"/>
    </w:rPr>
  </w:style>
  <w:style w:type="paragraph" w:customStyle="1" w:styleId="EF595F94E4AA42E99E71B7EAE2FAD6B2">
    <w:name w:val="EF595F94E4AA42E99E71B7EAE2FAD6B2"/>
    <w:rsid w:val="007B722E"/>
    <w:pPr>
      <w:spacing w:after="160" w:line="259" w:lineRule="auto"/>
    </w:pPr>
    <w:rPr>
      <w:sz w:val="22"/>
      <w:szCs w:val="22"/>
      <w:lang w:eastAsia="es-ES"/>
    </w:rPr>
  </w:style>
  <w:style w:type="paragraph" w:customStyle="1" w:styleId="4EF813B6EA344DE497D4E77CD3461F38">
    <w:name w:val="4EF813B6EA344DE497D4E77CD3461F38"/>
    <w:rsid w:val="007B722E"/>
    <w:pPr>
      <w:spacing w:after="160" w:line="259" w:lineRule="auto"/>
    </w:pPr>
    <w:rPr>
      <w:sz w:val="22"/>
      <w:szCs w:val="22"/>
      <w:lang w:eastAsia="es-ES"/>
    </w:rPr>
  </w:style>
  <w:style w:type="paragraph" w:customStyle="1" w:styleId="45FA9F59B1EB4D899C673563C4FDB248">
    <w:name w:val="45FA9F59B1EB4D899C673563C4FDB248"/>
    <w:rsid w:val="007B722E"/>
    <w:pPr>
      <w:spacing w:after="160" w:line="259" w:lineRule="auto"/>
    </w:pPr>
    <w:rPr>
      <w:sz w:val="22"/>
      <w:szCs w:val="22"/>
      <w:lang w:eastAsia="es-ES"/>
    </w:rPr>
  </w:style>
  <w:style w:type="paragraph" w:customStyle="1" w:styleId="B88DDD833DCC4B81B5F9FD4B8A5193D3">
    <w:name w:val="B88DDD833DCC4B81B5F9FD4B8A5193D3"/>
    <w:rsid w:val="007B722E"/>
    <w:pPr>
      <w:spacing w:after="160" w:line="259" w:lineRule="auto"/>
    </w:pPr>
    <w:rPr>
      <w:sz w:val="22"/>
      <w:szCs w:val="22"/>
      <w:lang w:eastAsia="es-ES"/>
    </w:rPr>
  </w:style>
  <w:style w:type="paragraph" w:customStyle="1" w:styleId="39E41AB3D71842E98157C850897EBB53">
    <w:name w:val="39E41AB3D71842E98157C850897EBB53"/>
    <w:rsid w:val="007B722E"/>
    <w:pPr>
      <w:spacing w:after="160" w:line="259" w:lineRule="auto"/>
    </w:pPr>
    <w:rPr>
      <w:sz w:val="22"/>
      <w:szCs w:val="22"/>
      <w:lang w:eastAsia="es-ES"/>
    </w:rPr>
  </w:style>
  <w:style w:type="paragraph" w:customStyle="1" w:styleId="6BD9D24B17FF417981FB8661B5F799C3">
    <w:name w:val="6BD9D24B17FF417981FB8661B5F799C3"/>
    <w:rsid w:val="007B722E"/>
    <w:pPr>
      <w:spacing w:after="160" w:line="259" w:lineRule="auto"/>
    </w:pPr>
    <w:rPr>
      <w:sz w:val="22"/>
      <w:szCs w:val="22"/>
      <w:lang w:eastAsia="es-ES"/>
    </w:rPr>
  </w:style>
  <w:style w:type="paragraph" w:customStyle="1" w:styleId="C2A752D19A574FAD88123C895F659F9F">
    <w:name w:val="C2A752D19A574FAD88123C895F659F9F"/>
    <w:rsid w:val="007B722E"/>
    <w:pPr>
      <w:spacing w:after="160" w:line="259" w:lineRule="auto"/>
    </w:pPr>
    <w:rPr>
      <w:sz w:val="22"/>
      <w:szCs w:val="22"/>
      <w:lang w:eastAsia="es-ES"/>
    </w:rPr>
  </w:style>
  <w:style w:type="paragraph" w:customStyle="1" w:styleId="8C7B3794610B4016AE9C9BE737084DB3">
    <w:name w:val="8C7B3794610B4016AE9C9BE737084DB3"/>
    <w:rsid w:val="007B722E"/>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3395</Words>
  <Characters>18674</Characters>
  <Application>Microsoft Office Word</Application>
  <DocSecurity>0</DocSecurity>
  <Lines>155</Lines>
  <Paragraphs>44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53</cp:revision>
  <dcterms:created xsi:type="dcterms:W3CDTF">2016-11-18T12:40:00Z</dcterms:created>
  <dcterms:modified xsi:type="dcterms:W3CDTF">2022-11-24T11:15:00Z</dcterms:modified>
</cp:coreProperties>
</file>