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687FABEB" w:rsidR="00CB043D" w:rsidRPr="00740B4F" w:rsidRDefault="002B5594" w:rsidP="006127B4">
      <w:pPr>
        <w:pStyle w:val="Ttulo"/>
        <w:rPr>
          <w:rFonts w:ascii="Arial" w:hAnsi="Arial"/>
        </w:rPr>
      </w:pPr>
      <w:r w:rsidRPr="002B5594">
        <w:rPr>
          <w:rFonts w:ascii="Arial" w:hAnsi="Arial"/>
        </w:rPr>
        <w:t>JURISPRUDENCIA AMBIENTAL EN ASTURIAS</w:t>
      </w:r>
    </w:p>
    <w:p w14:paraId="0405F4EA" w14:textId="77777777" w:rsidR="00CB043D" w:rsidRPr="00740B4F" w:rsidRDefault="00CB043D" w:rsidP="00CB043D">
      <w:pPr>
        <w:spacing w:after="0"/>
        <w:jc w:val="center"/>
        <w:rPr>
          <w:rFonts w:ascii="Arial" w:hAnsi="Arial"/>
          <w:i/>
          <w:lang w:val="es-ES_tradnl"/>
        </w:rPr>
      </w:pPr>
    </w:p>
    <w:p w14:paraId="35B809D7" w14:textId="3C7CADF8" w:rsidR="00CB043D" w:rsidRPr="00740B4F" w:rsidRDefault="00B33E83" w:rsidP="000128E0">
      <w:pPr>
        <w:pStyle w:val="Subttulo"/>
        <w:rPr>
          <w:rFonts w:ascii="Arial" w:hAnsi="Arial"/>
          <w:smallCaps/>
        </w:rPr>
      </w:pPr>
      <w:r w:rsidRPr="00B33E83">
        <w:rPr>
          <w:rFonts w:ascii="Arial" w:hAnsi="Arial"/>
          <w:smallCaps/>
        </w:rPr>
        <w:t>ALEJANDRA BOTO ÁLVAREZ</w:t>
      </w:r>
    </w:p>
    <w:p w14:paraId="35B28963" w14:textId="5560389B" w:rsidR="0056686F" w:rsidRPr="0056686F" w:rsidRDefault="0056686F" w:rsidP="0056686F">
      <w:pPr>
        <w:jc w:val="center"/>
        <w:rPr>
          <w:rFonts w:ascii="Arial" w:hAnsi="Arial"/>
          <w:i/>
          <w:lang w:val="es-ES"/>
        </w:rPr>
      </w:pPr>
      <w:r w:rsidRPr="0056686F">
        <w:rPr>
          <w:rFonts w:ascii="Arial" w:hAnsi="Arial"/>
          <w:i/>
          <w:lang w:val="es-ES"/>
        </w:rPr>
        <w:t xml:space="preserve">Profesora Titular de Derecho Administrativo. </w:t>
      </w:r>
    </w:p>
    <w:p w14:paraId="7EEFDC53" w14:textId="5B4683AA" w:rsidR="00BF31E0" w:rsidRPr="0056686F" w:rsidRDefault="0056686F" w:rsidP="0056686F">
      <w:pPr>
        <w:jc w:val="center"/>
        <w:rPr>
          <w:rFonts w:ascii="Arial" w:hAnsi="Arial"/>
          <w:i/>
          <w:lang w:val="es-ES"/>
        </w:rPr>
      </w:pPr>
      <w:r w:rsidRPr="0056686F">
        <w:rPr>
          <w:rFonts w:ascii="Arial" w:hAnsi="Arial"/>
          <w:i/>
          <w:lang w:val="es-ES"/>
        </w:rPr>
        <w:t>Universidad de Oviedo</w:t>
      </w:r>
    </w:p>
    <w:p w14:paraId="3B35FAA2" w14:textId="77777777" w:rsidR="0056686F" w:rsidRPr="0056686F" w:rsidRDefault="0056686F" w:rsidP="0056686F">
      <w:pPr>
        <w:jc w:val="center"/>
        <w:rPr>
          <w:rFonts w:ascii="Arial" w:hAnsi="Arial"/>
          <w:lang w:val="es-ES" w:eastAsia="es-ES"/>
        </w:rPr>
      </w:pPr>
    </w:p>
    <w:p w14:paraId="2049D5F0" w14:textId="680882AE" w:rsidR="000620B9" w:rsidRPr="007A02F8" w:rsidRDefault="00F342E5" w:rsidP="003B1C06">
      <w:pPr>
        <w:pStyle w:val="Sumario"/>
        <w:rPr>
          <w:rFonts w:ascii="Arial" w:hAnsi="Arial"/>
          <w:lang w:val="es-ES"/>
        </w:rPr>
      </w:pPr>
      <w:r w:rsidRPr="0056686F">
        <w:rPr>
          <w:rFonts w:ascii="Arial" w:hAnsi="Arial"/>
          <w:b/>
          <w:lang w:val="es-ES"/>
        </w:rPr>
        <w:t xml:space="preserve">Sumario: </w:t>
      </w:r>
      <w:r w:rsidRPr="0056686F">
        <w:rPr>
          <w:rFonts w:ascii="Arial" w:hAnsi="Arial"/>
          <w:lang w:val="es-ES"/>
        </w:rPr>
        <w:t xml:space="preserve">1. </w:t>
      </w:r>
      <w:r w:rsidR="003B1C06">
        <w:rPr>
          <w:rFonts w:ascii="Arial" w:hAnsi="Arial"/>
        </w:rPr>
        <w:t xml:space="preserve">La gestión del lobo: ecos pasados y nuevos capítulos. 2. RAMINP, continua la inactividad regulatoria. 3. Inactividad en la gestión y restauración de los hábitats. </w:t>
      </w:r>
      <w:r w:rsidR="003B1C06" w:rsidRPr="00FF2080">
        <w:rPr>
          <w:rFonts w:ascii="Arial" w:hAnsi="Arial"/>
        </w:rPr>
        <w:t xml:space="preserve">4. Concesiones </w:t>
      </w:r>
      <w:r w:rsidR="003B1C06">
        <w:rPr>
          <w:rFonts w:ascii="Arial" w:hAnsi="Arial"/>
        </w:rPr>
        <w:t>h</w:t>
      </w:r>
      <w:r w:rsidR="003B1C06" w:rsidRPr="00FF2080">
        <w:rPr>
          <w:rFonts w:ascii="Arial" w:hAnsi="Arial"/>
        </w:rPr>
        <w:t xml:space="preserve">idroeléctricas, </w:t>
      </w:r>
      <w:r w:rsidR="003B1C06">
        <w:rPr>
          <w:rFonts w:ascii="Arial" w:hAnsi="Arial"/>
        </w:rPr>
        <w:t>o</w:t>
      </w:r>
      <w:r w:rsidR="003B1C06" w:rsidRPr="00FF2080">
        <w:rPr>
          <w:rFonts w:ascii="Arial" w:hAnsi="Arial"/>
        </w:rPr>
        <w:t xml:space="preserve">bras </w:t>
      </w:r>
      <w:r w:rsidR="003B1C06">
        <w:rPr>
          <w:rFonts w:ascii="Arial" w:hAnsi="Arial"/>
        </w:rPr>
        <w:t>y</w:t>
      </w:r>
      <w:r w:rsidR="003B1C06" w:rsidRPr="00FF2080">
        <w:rPr>
          <w:rFonts w:ascii="Arial" w:hAnsi="Arial"/>
        </w:rPr>
        <w:t xml:space="preserve"> </w:t>
      </w:r>
      <w:r w:rsidR="003B1C06">
        <w:rPr>
          <w:rFonts w:ascii="Arial" w:hAnsi="Arial"/>
        </w:rPr>
        <w:t>c</w:t>
      </w:r>
      <w:r w:rsidR="003B1C06" w:rsidRPr="00FF2080">
        <w:rPr>
          <w:rFonts w:ascii="Arial" w:hAnsi="Arial"/>
        </w:rPr>
        <w:t xml:space="preserve">audales </w:t>
      </w:r>
      <w:r w:rsidR="003B1C06">
        <w:rPr>
          <w:rFonts w:ascii="Arial" w:hAnsi="Arial"/>
        </w:rPr>
        <w:t>e</w:t>
      </w:r>
      <w:r w:rsidR="003B1C06" w:rsidRPr="00FF2080">
        <w:rPr>
          <w:rFonts w:ascii="Arial" w:hAnsi="Arial"/>
        </w:rPr>
        <w:t xml:space="preserve">cológicos: </w:t>
      </w:r>
      <w:r w:rsidR="003B1C06">
        <w:rPr>
          <w:rFonts w:ascii="Arial" w:hAnsi="Arial"/>
        </w:rPr>
        <w:t>l</w:t>
      </w:r>
      <w:r w:rsidR="003B1C06" w:rsidRPr="00FF2080">
        <w:rPr>
          <w:rFonts w:ascii="Arial" w:hAnsi="Arial"/>
        </w:rPr>
        <w:t xml:space="preserve">a </w:t>
      </w:r>
      <w:r w:rsidR="003B1C06">
        <w:rPr>
          <w:rFonts w:ascii="Arial" w:hAnsi="Arial"/>
        </w:rPr>
        <w:t>i</w:t>
      </w:r>
      <w:r w:rsidR="003B1C06" w:rsidRPr="00FF2080">
        <w:rPr>
          <w:rFonts w:ascii="Arial" w:hAnsi="Arial"/>
        </w:rPr>
        <w:t xml:space="preserve">mportancia </w:t>
      </w:r>
      <w:r w:rsidR="003B1C06">
        <w:rPr>
          <w:rFonts w:ascii="Arial" w:hAnsi="Arial"/>
        </w:rPr>
        <w:t>d</w:t>
      </w:r>
      <w:r w:rsidR="003B1C06" w:rsidRPr="00FF2080">
        <w:rPr>
          <w:rFonts w:ascii="Arial" w:hAnsi="Arial"/>
        </w:rPr>
        <w:t xml:space="preserve">e </w:t>
      </w:r>
      <w:r w:rsidR="003B1C06">
        <w:rPr>
          <w:rFonts w:ascii="Arial" w:hAnsi="Arial"/>
        </w:rPr>
        <w:t>l</w:t>
      </w:r>
      <w:r w:rsidR="003B1C06" w:rsidRPr="00FF2080">
        <w:rPr>
          <w:rFonts w:ascii="Arial" w:hAnsi="Arial"/>
        </w:rPr>
        <w:t xml:space="preserve">os </w:t>
      </w:r>
      <w:r w:rsidR="003B1C06">
        <w:rPr>
          <w:rFonts w:ascii="Arial" w:hAnsi="Arial"/>
        </w:rPr>
        <w:t>t</w:t>
      </w:r>
      <w:r w:rsidR="003B1C06" w:rsidRPr="00FF2080">
        <w:rPr>
          <w:rFonts w:ascii="Arial" w:hAnsi="Arial"/>
        </w:rPr>
        <w:t>iempos</w:t>
      </w:r>
      <w:r w:rsidR="003B1C06">
        <w:rPr>
          <w:rFonts w:ascii="Arial" w:hAnsi="Arial"/>
        </w:rPr>
        <w:t>. 5. La caza y la pandemia</w:t>
      </w:r>
      <w:r w:rsidR="003B1C06">
        <w:rPr>
          <w:rFonts w:ascii="Arial" w:hAnsi="Arial"/>
        </w:rPr>
        <w:t>.</w:t>
      </w:r>
      <w:r w:rsidR="003B1C06" w:rsidRPr="007A02F8">
        <w:rPr>
          <w:rFonts w:ascii="Arial" w:hAnsi="Arial"/>
          <w:lang w:val="es-ES"/>
        </w:rPr>
        <w:t xml:space="preserve"> </w:t>
      </w:r>
    </w:p>
    <w:p w14:paraId="02DCB496" w14:textId="77777777" w:rsidR="003B1C06" w:rsidRPr="007A02F8" w:rsidRDefault="003B1C06" w:rsidP="003B1C06">
      <w:pPr>
        <w:rPr>
          <w:lang w:val="es-ES"/>
        </w:rPr>
      </w:pPr>
    </w:p>
    <w:p w14:paraId="5B368649" w14:textId="288A718F" w:rsidR="007A02F8" w:rsidRPr="007A02F8" w:rsidRDefault="007A02F8" w:rsidP="007A02F8">
      <w:pPr>
        <w:pStyle w:val="Ttulo1"/>
      </w:pPr>
      <w:r w:rsidRPr="007A02F8">
        <w:t>Esta entrega se abre con la consideración de dos tipos de asuntos que resultan ya conocidos para quien sigue la actualidad jurisprudencial ambiental en el Principado de Asturias: la judicialización del instrumento anual de gestión del lobo ibérico y los problemas de aplicación que genera el RAMINP, pues pese a los anuncios, este continúa vigente porque la Comunidad Autónoma no ha conseguido aprobar aún normativa superadora en materia de actividades clasificadas. A la inactividad, pero en este caso en relación con acciones de restauración y protección de los hábitats, se hará también referencia después, en un caso que acaba solventándose por razones formales de falta de legitimación y presupuestos procesales, sin entrar en el fondo del asunto. Tras ello se presta atención a un caso en que ya no hay inactividad, sino una actividad muy lenta, tanto pública como privada, con los consiguientes efectos del paso del tiempo en la normativa y las instalaciones, respecto a una concesión para producción de energía eléctrica que afecta a lo que hoy es un Parque Natural y varias zonas protegidas. La fuerza de los tiempos también está presente en el último de los fallos que se presentan, en relación con la actividad de caza durante la pandemia de Covid-19</w:t>
      </w:r>
    </w:p>
    <w:p w14:paraId="48D600B0" w14:textId="351788B9" w:rsidR="00CB043D" w:rsidRDefault="00CB043D" w:rsidP="007A02F8">
      <w:pPr>
        <w:pStyle w:val="Ttulo1"/>
        <w:rPr>
          <w:rFonts w:cs="Arial"/>
          <w:b/>
          <w:lang w:val="es-AR"/>
        </w:rPr>
      </w:pPr>
      <w:r w:rsidRPr="007A02F8">
        <w:rPr>
          <w:b/>
          <w:bCs w:val="0"/>
        </w:rPr>
        <w:t>1.</w:t>
      </w:r>
      <w:r w:rsidRPr="00740B4F">
        <w:t xml:space="preserve"> </w:t>
      </w:r>
      <w:r w:rsidR="007B47A1">
        <w:rPr>
          <w:b/>
          <w:bCs w:val="0"/>
        </w:rPr>
        <w:t>L</w:t>
      </w:r>
      <w:r w:rsidR="007B47A1">
        <w:rPr>
          <w:rFonts w:cs="Arial"/>
          <w:b/>
          <w:lang w:val="es-AR"/>
        </w:rPr>
        <w:t>A GESTIÓN DEL LOBO: ECOS PASADOS Y NUEVOS CAPÍTULOS</w:t>
      </w:r>
    </w:p>
    <w:p w14:paraId="714FDEB2" w14:textId="77777777" w:rsidR="00380417" w:rsidRDefault="00380417" w:rsidP="00380417">
      <w:pPr>
        <w:rPr>
          <w:rFonts w:ascii="Arial" w:hAnsi="Arial" w:cs="Arial"/>
          <w:bCs/>
          <w:lang w:val="es-AR" w:eastAsia="es-ES"/>
        </w:rPr>
      </w:pPr>
      <w:r>
        <w:rPr>
          <w:rFonts w:ascii="Arial" w:hAnsi="Arial" w:cs="Arial"/>
          <w:bCs/>
          <w:lang w:val="es-AR" w:eastAsia="es-ES"/>
        </w:rPr>
        <w:t xml:space="preserve">Mientras que la crónica de legislación ha dado cuenta de la aprobación del </w:t>
      </w:r>
      <w:r w:rsidRPr="00B661EA">
        <w:rPr>
          <w:rFonts w:ascii="Arial" w:hAnsi="Arial" w:cs="Arial"/>
          <w:bCs/>
          <w:lang w:val="es-AR" w:eastAsia="es-ES"/>
        </w:rPr>
        <w:t xml:space="preserve">Programa Anual de Actuaciones de Control del Lobo </w:t>
      </w:r>
      <w:r>
        <w:rPr>
          <w:rFonts w:ascii="Arial" w:hAnsi="Arial" w:cs="Arial"/>
          <w:bCs/>
          <w:lang w:val="es-AR" w:eastAsia="es-ES"/>
        </w:rPr>
        <w:t xml:space="preserve">para el período </w:t>
      </w:r>
      <w:r w:rsidRPr="00B661EA">
        <w:rPr>
          <w:rFonts w:ascii="Arial" w:hAnsi="Arial" w:cs="Arial"/>
          <w:bCs/>
          <w:lang w:val="es-AR" w:eastAsia="es-ES"/>
        </w:rPr>
        <w:t>2022-</w:t>
      </w:r>
      <w:r w:rsidRPr="00B661EA">
        <w:rPr>
          <w:rFonts w:ascii="Arial" w:hAnsi="Arial" w:cs="Arial"/>
          <w:bCs/>
          <w:lang w:val="es-AR" w:eastAsia="es-ES"/>
        </w:rPr>
        <w:lastRenderedPageBreak/>
        <w:t>2023</w:t>
      </w:r>
      <w:r>
        <w:rPr>
          <w:rFonts w:ascii="Arial" w:hAnsi="Arial" w:cs="Arial"/>
          <w:bCs/>
          <w:lang w:val="es-AR" w:eastAsia="es-ES"/>
        </w:rPr>
        <w:t xml:space="preserve">, la jurisdicción se ha tenido que ocupar de la litigiosidad del mismo instrumento respecto a 2019-2020. Se está haciendo referencia a la sentencia </w:t>
      </w:r>
      <w:r w:rsidRPr="00B661EA">
        <w:rPr>
          <w:rFonts w:ascii="Arial" w:hAnsi="Arial" w:cs="Arial"/>
          <w:bCs/>
          <w:lang w:val="es-AR" w:eastAsia="es-ES"/>
        </w:rPr>
        <w:t>552/2022</w:t>
      </w:r>
      <w:r>
        <w:rPr>
          <w:rFonts w:ascii="Arial" w:hAnsi="Arial" w:cs="Arial"/>
          <w:bCs/>
          <w:lang w:val="es-AR" w:eastAsia="es-ES"/>
        </w:rPr>
        <w:t xml:space="preserve">, de 23 de junio, dictada por el TSJA en el recurso </w:t>
      </w:r>
      <w:r w:rsidRPr="00B661EA">
        <w:rPr>
          <w:rFonts w:ascii="Arial" w:hAnsi="Arial" w:cs="Arial"/>
          <w:bCs/>
          <w:lang w:val="es-AR" w:eastAsia="es-ES"/>
        </w:rPr>
        <w:t>1015/2019</w:t>
      </w:r>
      <w:r>
        <w:rPr>
          <w:rFonts w:ascii="Arial" w:hAnsi="Arial" w:cs="Arial"/>
          <w:bCs/>
          <w:lang w:val="es-AR" w:eastAsia="es-ES"/>
        </w:rPr>
        <w:t xml:space="preserve">. </w:t>
      </w:r>
      <w:r w:rsidRPr="00B661EA">
        <w:rPr>
          <w:rFonts w:ascii="Arial" w:hAnsi="Arial" w:cs="Arial"/>
          <w:bCs/>
          <w:lang w:val="es-AR" w:eastAsia="es-ES"/>
        </w:rPr>
        <w:t>Este recurso contencioso-administrativo se dirige contra la Resolución, de 27 de septiembre de</w:t>
      </w:r>
      <w:r>
        <w:rPr>
          <w:rFonts w:ascii="Arial" w:hAnsi="Arial" w:cs="Arial"/>
          <w:bCs/>
          <w:lang w:val="es-AR" w:eastAsia="es-ES"/>
        </w:rPr>
        <w:t xml:space="preserve"> </w:t>
      </w:r>
      <w:r w:rsidRPr="00B661EA">
        <w:rPr>
          <w:rFonts w:ascii="Arial" w:hAnsi="Arial" w:cs="Arial"/>
          <w:bCs/>
          <w:lang w:val="es-AR" w:eastAsia="es-ES"/>
        </w:rPr>
        <w:t xml:space="preserve">2019, de la Consejería de Desarrollo Rural, </w:t>
      </w:r>
      <w:proofErr w:type="spellStart"/>
      <w:r w:rsidRPr="00B661EA">
        <w:rPr>
          <w:rFonts w:ascii="Arial" w:hAnsi="Arial" w:cs="Arial"/>
          <w:bCs/>
          <w:lang w:val="es-AR" w:eastAsia="es-ES"/>
        </w:rPr>
        <w:t>Agroganadería</w:t>
      </w:r>
      <w:proofErr w:type="spellEnd"/>
      <w:r w:rsidRPr="00B661EA">
        <w:rPr>
          <w:rFonts w:ascii="Arial" w:hAnsi="Arial" w:cs="Arial"/>
          <w:bCs/>
          <w:lang w:val="es-AR" w:eastAsia="es-ES"/>
        </w:rPr>
        <w:t xml:space="preserve"> y Pesca, por el que se aprueba el Programa Anual</w:t>
      </w:r>
      <w:r>
        <w:rPr>
          <w:rFonts w:ascii="Arial" w:hAnsi="Arial" w:cs="Arial"/>
          <w:bCs/>
          <w:lang w:val="es-AR" w:eastAsia="es-ES"/>
        </w:rPr>
        <w:t xml:space="preserve"> </w:t>
      </w:r>
      <w:r w:rsidRPr="00B661EA">
        <w:rPr>
          <w:rFonts w:ascii="Arial" w:hAnsi="Arial" w:cs="Arial"/>
          <w:bCs/>
          <w:lang w:val="es-AR" w:eastAsia="es-ES"/>
        </w:rPr>
        <w:t>de actuaciones de Control del Lobo 2019-2020</w:t>
      </w:r>
      <w:r w:rsidRPr="00705CA6">
        <w:rPr>
          <w:rStyle w:val="Refdenotaalpie"/>
          <w:rFonts w:ascii="Arial" w:hAnsi="Arial" w:cs="Arial"/>
          <w:bCs/>
          <w:sz w:val="24"/>
          <w:szCs w:val="28"/>
          <w:lang w:val="es-AR" w:eastAsia="es-ES"/>
        </w:rPr>
        <w:footnoteReference w:id="1"/>
      </w:r>
      <w:r>
        <w:rPr>
          <w:rFonts w:ascii="Arial" w:hAnsi="Arial" w:cs="Arial"/>
          <w:bCs/>
          <w:lang w:val="es-AR" w:eastAsia="es-ES"/>
        </w:rPr>
        <w:t>.</w:t>
      </w:r>
    </w:p>
    <w:p w14:paraId="201F57AA" w14:textId="0BB7A821" w:rsidR="00380417" w:rsidRDefault="00380417" w:rsidP="00380417">
      <w:pPr>
        <w:rPr>
          <w:rFonts w:ascii="Arial" w:hAnsi="Arial" w:cs="Arial"/>
          <w:bCs/>
          <w:lang w:val="es-AR" w:eastAsia="es-ES"/>
        </w:rPr>
      </w:pPr>
      <w:r>
        <w:rPr>
          <w:rFonts w:ascii="Arial" w:hAnsi="Arial" w:cs="Arial"/>
          <w:bCs/>
          <w:lang w:val="es-AR" w:eastAsia="es-ES"/>
        </w:rPr>
        <w:t xml:space="preserve">La parte actora, la </w:t>
      </w:r>
      <w:r w:rsidRPr="00BC2176">
        <w:rPr>
          <w:rFonts w:ascii="Arial" w:hAnsi="Arial" w:cs="Arial"/>
          <w:bCs/>
          <w:lang w:val="es-AR" w:eastAsia="es-ES"/>
        </w:rPr>
        <w:t>Asociación para la Conservación y Estudio del Lobo Ibérico (ASCEL</w:t>
      </w:r>
      <w:r>
        <w:rPr>
          <w:rFonts w:ascii="Arial" w:hAnsi="Arial" w:cs="Arial"/>
          <w:bCs/>
          <w:lang w:val="es-AR" w:eastAsia="es-ES"/>
        </w:rPr>
        <w:t xml:space="preserve">), entendía que el Programa Anual era </w:t>
      </w:r>
      <w:r w:rsidRPr="00BC2176">
        <w:rPr>
          <w:rFonts w:ascii="Arial" w:hAnsi="Arial" w:cs="Arial"/>
          <w:bCs/>
          <w:lang w:val="es-AR" w:eastAsia="es-ES"/>
        </w:rPr>
        <w:t>arbitrari</w:t>
      </w:r>
      <w:r>
        <w:rPr>
          <w:rFonts w:ascii="Arial" w:hAnsi="Arial" w:cs="Arial"/>
          <w:bCs/>
          <w:lang w:val="es-AR" w:eastAsia="es-ES"/>
        </w:rPr>
        <w:t>o</w:t>
      </w:r>
      <w:r w:rsidRPr="00BC2176">
        <w:rPr>
          <w:rFonts w:ascii="Arial" w:hAnsi="Arial" w:cs="Arial"/>
          <w:bCs/>
          <w:lang w:val="es-AR" w:eastAsia="es-ES"/>
        </w:rPr>
        <w:t>, no est</w:t>
      </w:r>
      <w:r>
        <w:rPr>
          <w:rFonts w:ascii="Arial" w:hAnsi="Arial" w:cs="Arial"/>
          <w:bCs/>
          <w:lang w:val="es-AR" w:eastAsia="es-ES"/>
        </w:rPr>
        <w:t xml:space="preserve">aba </w:t>
      </w:r>
      <w:r w:rsidRPr="00BC2176">
        <w:rPr>
          <w:rFonts w:ascii="Arial" w:hAnsi="Arial" w:cs="Arial"/>
          <w:bCs/>
          <w:lang w:val="es-AR" w:eastAsia="es-ES"/>
        </w:rPr>
        <w:t>motivad</w:t>
      </w:r>
      <w:r>
        <w:rPr>
          <w:rFonts w:ascii="Arial" w:hAnsi="Arial" w:cs="Arial"/>
          <w:bCs/>
          <w:lang w:val="es-AR" w:eastAsia="es-ES"/>
        </w:rPr>
        <w:t>o</w:t>
      </w:r>
      <w:r w:rsidRPr="00BC2176">
        <w:rPr>
          <w:rFonts w:ascii="Arial" w:hAnsi="Arial" w:cs="Arial"/>
          <w:bCs/>
          <w:lang w:val="es-AR" w:eastAsia="es-ES"/>
        </w:rPr>
        <w:t xml:space="preserve"> ni e</w:t>
      </w:r>
      <w:r>
        <w:rPr>
          <w:rFonts w:ascii="Arial" w:hAnsi="Arial" w:cs="Arial"/>
          <w:bCs/>
          <w:lang w:val="es-AR" w:eastAsia="es-ES"/>
        </w:rPr>
        <w:t>ra</w:t>
      </w:r>
      <w:r w:rsidRPr="00BC2176">
        <w:rPr>
          <w:rFonts w:ascii="Arial" w:hAnsi="Arial" w:cs="Arial"/>
          <w:bCs/>
          <w:lang w:val="es-AR" w:eastAsia="es-ES"/>
        </w:rPr>
        <w:t xml:space="preserve"> objetiv</w:t>
      </w:r>
      <w:r>
        <w:rPr>
          <w:rFonts w:ascii="Arial" w:hAnsi="Arial" w:cs="Arial"/>
          <w:bCs/>
          <w:lang w:val="es-AR" w:eastAsia="es-ES"/>
        </w:rPr>
        <w:t>o</w:t>
      </w:r>
      <w:r w:rsidRPr="00BC2176">
        <w:rPr>
          <w:rFonts w:ascii="Arial" w:hAnsi="Arial" w:cs="Arial"/>
          <w:bCs/>
          <w:lang w:val="es-AR" w:eastAsia="es-ES"/>
        </w:rPr>
        <w:t>, debiendo aplicarse la protección cautelar y el principio de precaución, así como la</w:t>
      </w:r>
      <w:r>
        <w:rPr>
          <w:rFonts w:ascii="Arial" w:hAnsi="Arial" w:cs="Arial"/>
          <w:bCs/>
          <w:lang w:val="es-AR" w:eastAsia="es-ES"/>
        </w:rPr>
        <w:t xml:space="preserve"> </w:t>
      </w:r>
      <w:r w:rsidRPr="00BC2176">
        <w:rPr>
          <w:rFonts w:ascii="Arial" w:hAnsi="Arial" w:cs="Arial"/>
          <w:bCs/>
          <w:lang w:val="es-AR" w:eastAsia="es-ES"/>
        </w:rPr>
        <w:t>jurisprudencia nacional y europea</w:t>
      </w:r>
      <w:r>
        <w:rPr>
          <w:rFonts w:ascii="Arial" w:hAnsi="Arial" w:cs="Arial"/>
          <w:bCs/>
          <w:lang w:val="es-AR" w:eastAsia="es-ES"/>
        </w:rPr>
        <w:t>. Como en otras ocasiones, se s</w:t>
      </w:r>
      <w:r w:rsidRPr="00BC2176">
        <w:rPr>
          <w:rFonts w:ascii="Arial" w:hAnsi="Arial" w:cs="Arial"/>
          <w:bCs/>
          <w:lang w:val="es-AR" w:eastAsia="es-ES"/>
        </w:rPr>
        <w:t>olicita</w:t>
      </w:r>
      <w:r>
        <w:rPr>
          <w:rFonts w:ascii="Arial" w:hAnsi="Arial" w:cs="Arial"/>
          <w:bCs/>
          <w:lang w:val="es-AR" w:eastAsia="es-ES"/>
        </w:rPr>
        <w:t>ba</w:t>
      </w:r>
      <w:r w:rsidRPr="00BC2176">
        <w:rPr>
          <w:rFonts w:ascii="Arial" w:hAnsi="Arial" w:cs="Arial"/>
          <w:bCs/>
          <w:lang w:val="es-AR" w:eastAsia="es-ES"/>
        </w:rPr>
        <w:t xml:space="preserve"> la anulación de la Resolución impugnada y que se fij</w:t>
      </w:r>
      <w:r>
        <w:rPr>
          <w:rFonts w:ascii="Arial" w:hAnsi="Arial" w:cs="Arial"/>
          <w:bCs/>
          <w:lang w:val="es-AR" w:eastAsia="es-ES"/>
        </w:rPr>
        <w:t>as</w:t>
      </w:r>
      <w:r w:rsidRPr="00BC2176">
        <w:rPr>
          <w:rFonts w:ascii="Arial" w:hAnsi="Arial" w:cs="Arial"/>
          <w:bCs/>
          <w:lang w:val="es-AR" w:eastAsia="es-ES"/>
        </w:rPr>
        <w:t>e una</w:t>
      </w:r>
      <w:r>
        <w:rPr>
          <w:rFonts w:ascii="Arial" w:hAnsi="Arial" w:cs="Arial"/>
          <w:bCs/>
          <w:lang w:val="es-AR" w:eastAsia="es-ES"/>
        </w:rPr>
        <w:t xml:space="preserve"> </w:t>
      </w:r>
      <w:r w:rsidRPr="00BC2176">
        <w:rPr>
          <w:rFonts w:ascii="Arial" w:hAnsi="Arial" w:cs="Arial"/>
          <w:bCs/>
          <w:lang w:val="es-AR" w:eastAsia="es-ES"/>
        </w:rPr>
        <w:t>indemnización sustitutoria equivalente al valor económico de cada lobo abatido en la temporada 2019-2020,</w:t>
      </w:r>
      <w:r>
        <w:rPr>
          <w:rFonts w:ascii="Arial" w:hAnsi="Arial" w:cs="Arial"/>
          <w:bCs/>
          <w:lang w:val="es-AR" w:eastAsia="es-ES"/>
        </w:rPr>
        <w:t xml:space="preserve"> </w:t>
      </w:r>
      <w:r w:rsidRPr="00BC2176">
        <w:rPr>
          <w:rFonts w:ascii="Arial" w:hAnsi="Arial" w:cs="Arial"/>
          <w:bCs/>
          <w:lang w:val="es-AR" w:eastAsia="es-ES"/>
        </w:rPr>
        <w:t xml:space="preserve">cuyo importe total </w:t>
      </w:r>
      <w:r>
        <w:rPr>
          <w:rFonts w:ascii="Arial" w:hAnsi="Arial" w:cs="Arial"/>
          <w:bCs/>
          <w:lang w:val="es-AR" w:eastAsia="es-ES"/>
        </w:rPr>
        <w:t>fuera</w:t>
      </w:r>
      <w:r w:rsidRPr="00BC2176">
        <w:rPr>
          <w:rFonts w:ascii="Arial" w:hAnsi="Arial" w:cs="Arial"/>
          <w:bCs/>
          <w:lang w:val="es-AR" w:eastAsia="es-ES"/>
        </w:rPr>
        <w:t xml:space="preserve"> objeto de determinación en ejecución de sentencia</w:t>
      </w:r>
      <w:r>
        <w:rPr>
          <w:rFonts w:ascii="Arial" w:hAnsi="Arial" w:cs="Arial"/>
          <w:bCs/>
          <w:lang w:val="es-AR" w:eastAsia="es-ES"/>
        </w:rPr>
        <w:t xml:space="preserve">. A ello se opusieron tanto el Principado de Asturias como las codemandadas, </w:t>
      </w:r>
      <w:r w:rsidRPr="00BC2176">
        <w:rPr>
          <w:rFonts w:ascii="Arial" w:hAnsi="Arial" w:cs="Arial"/>
          <w:bCs/>
          <w:lang w:val="es-AR" w:eastAsia="es-ES"/>
        </w:rPr>
        <w:t>la Coordinadora de Organizaciones de Agricultores</w:t>
      </w:r>
      <w:r>
        <w:rPr>
          <w:rFonts w:ascii="Arial" w:hAnsi="Arial" w:cs="Arial"/>
          <w:bCs/>
          <w:lang w:val="es-AR" w:eastAsia="es-ES"/>
        </w:rPr>
        <w:t xml:space="preserve"> </w:t>
      </w:r>
      <w:r w:rsidRPr="00BC2176">
        <w:rPr>
          <w:rFonts w:ascii="Arial" w:hAnsi="Arial" w:cs="Arial"/>
          <w:bCs/>
          <w:lang w:val="es-AR" w:eastAsia="es-ES"/>
        </w:rPr>
        <w:t>y Ganaderos (COAG Asturias)</w:t>
      </w:r>
      <w:r>
        <w:rPr>
          <w:rFonts w:ascii="Arial" w:hAnsi="Arial" w:cs="Arial"/>
          <w:bCs/>
          <w:lang w:val="es-AR" w:eastAsia="es-ES"/>
        </w:rPr>
        <w:t xml:space="preserve"> </w:t>
      </w:r>
      <w:r w:rsidRPr="00BC2176">
        <w:rPr>
          <w:rFonts w:ascii="Arial" w:hAnsi="Arial" w:cs="Arial"/>
          <w:bCs/>
          <w:lang w:val="es-AR" w:eastAsia="es-ES"/>
        </w:rPr>
        <w:t>y</w:t>
      </w:r>
      <w:r>
        <w:rPr>
          <w:rFonts w:ascii="Arial" w:hAnsi="Arial" w:cs="Arial"/>
          <w:bCs/>
          <w:lang w:val="es-AR" w:eastAsia="es-ES"/>
        </w:rPr>
        <w:t xml:space="preserve"> </w:t>
      </w:r>
      <w:r w:rsidRPr="00BC2176">
        <w:rPr>
          <w:rFonts w:ascii="Arial" w:hAnsi="Arial" w:cs="Arial"/>
          <w:bCs/>
          <w:lang w:val="es-AR" w:eastAsia="es-ES"/>
        </w:rPr>
        <w:t>la Asociación</w:t>
      </w:r>
      <w:r>
        <w:rPr>
          <w:rFonts w:ascii="Arial" w:hAnsi="Arial" w:cs="Arial"/>
          <w:bCs/>
          <w:lang w:val="es-AR" w:eastAsia="es-ES"/>
        </w:rPr>
        <w:t xml:space="preserve"> </w:t>
      </w:r>
      <w:r w:rsidRPr="00BC2176">
        <w:rPr>
          <w:rFonts w:ascii="Arial" w:hAnsi="Arial" w:cs="Arial"/>
          <w:bCs/>
          <w:lang w:val="es-AR" w:eastAsia="es-ES"/>
        </w:rPr>
        <w:t>Agraria de Jóvenes Agricultores y Ganaderos de Asturias (ASAJA)</w:t>
      </w:r>
      <w:r>
        <w:rPr>
          <w:rFonts w:ascii="Arial" w:hAnsi="Arial" w:cs="Arial"/>
          <w:bCs/>
          <w:lang w:val="es-AR" w:eastAsia="es-ES"/>
        </w:rPr>
        <w:t>.</w:t>
      </w:r>
    </w:p>
    <w:p w14:paraId="2DA140D6" w14:textId="58D4113C" w:rsidR="00CB043D" w:rsidRPr="00D30654" w:rsidRDefault="00705CA6" w:rsidP="00CB043D">
      <w:pPr>
        <w:rPr>
          <w:rFonts w:ascii="Arial" w:hAnsi="Arial" w:cs="Arial"/>
          <w:bCs/>
          <w:szCs w:val="24"/>
          <w:lang w:val="es-AR" w:eastAsia="es-ES"/>
        </w:rPr>
      </w:pPr>
      <w:r w:rsidRPr="00705CA6">
        <w:rPr>
          <w:rFonts w:ascii="Arial" w:hAnsi="Arial" w:cs="Arial"/>
          <w:bCs/>
          <w:szCs w:val="24"/>
          <w:lang w:val="es-ES"/>
        </w:rPr>
        <w:t>Citando los precedentes que se dieron en impugnaciones anteriores de versiones anuales previas de este mismo instrumento de gestión (la sentencia 618/2019, de 11 de marzo, en procedimiento ordinario 70/2017 frente al Programa Anual 2017-2018 y la 517/2015, de 12 de junio, en procedimiento 441/2016 respecto del programa 2015-2016), el TSJA entiende que el recurso no puede prosperar. Y es que, como resulta del propio contenido del instrumento y de las pruebas aportadas</w:t>
      </w:r>
      <w:r w:rsidRPr="00705CA6">
        <w:rPr>
          <w:rStyle w:val="Refdenotaalpie"/>
          <w:rFonts w:ascii="Arial" w:hAnsi="Arial" w:cs="Arial"/>
          <w:bCs/>
          <w:sz w:val="24"/>
          <w:szCs w:val="24"/>
        </w:rPr>
        <w:footnoteReference w:id="2"/>
      </w:r>
      <w:r w:rsidRPr="00705CA6">
        <w:rPr>
          <w:rFonts w:ascii="Arial" w:hAnsi="Arial" w:cs="Arial"/>
          <w:bCs/>
          <w:szCs w:val="24"/>
          <w:lang w:val="es-ES"/>
        </w:rPr>
        <w:t xml:space="preserve">, la resolución impugnada obedece a un amplio estudio sobre las razones que conducen a adoptar distintas medidas </w:t>
      </w:r>
      <w:r w:rsidRPr="00705CA6">
        <w:rPr>
          <w:rFonts w:ascii="Arial" w:hAnsi="Arial" w:cs="Arial"/>
          <w:bCs/>
          <w:szCs w:val="24"/>
          <w:lang w:val="es-ES"/>
        </w:rPr>
        <w:lastRenderedPageBreak/>
        <w:t>a cada una de las zonas en las que se subdivide el territorio de Asturias, así como de la evaluación de la población de lobos en distintos periodos, de los daños causados, presas silvestres potenciales y domésticas, así como los resultados de los Programas de los ejercicios anteriores, por lo que no cabe apreciar infracción alguna del Convenio de Berna, ni de la Directiva 92/43 incorporada en la Ley 42/2007, pues nada se acredita sobre la vulneración de dichas normativas, salvo la mera afirmación de su incumplimiento (Fundamento de Derecho quinto). Tampoco puede acogerse una eventual vulneración del Decreto 23/2015 del Principado de Asturias (</w:t>
      </w:r>
      <w:r w:rsidRPr="00705CA6">
        <w:rPr>
          <w:rFonts w:ascii="Arial" w:hAnsi="Arial" w:cs="Arial"/>
          <w:szCs w:val="24"/>
          <w:lang w:val="es-ES"/>
        </w:rPr>
        <w:t>por el que se aprueba el II Plan de Gestión del Lobo en el Principado de Asturias)</w:t>
      </w:r>
      <w:r w:rsidRPr="00705CA6">
        <w:rPr>
          <w:rFonts w:ascii="Arial" w:hAnsi="Arial" w:cs="Arial"/>
          <w:bCs/>
          <w:szCs w:val="24"/>
          <w:lang w:val="es-ES"/>
        </w:rPr>
        <w:t>, toda vez que</w:t>
      </w:r>
      <w:r w:rsidR="00D30654">
        <w:rPr>
          <w:rFonts w:ascii="Arial" w:hAnsi="Arial" w:cs="Arial"/>
          <w:bCs/>
          <w:szCs w:val="24"/>
          <w:lang w:val="es-ES"/>
        </w:rPr>
        <w:t>:</w:t>
      </w:r>
    </w:p>
    <w:p w14:paraId="1E4110FC" w14:textId="5BBFBBF5" w:rsidR="00CB043D" w:rsidRDefault="006215BA" w:rsidP="006127B4">
      <w:pPr>
        <w:pStyle w:val="Cita"/>
        <w:rPr>
          <w:rFonts w:ascii="Arial" w:hAnsi="Arial"/>
          <w:lang w:val="es-ES_tradnl"/>
        </w:rPr>
      </w:pPr>
      <w:sdt>
        <w:sdtPr>
          <w:rPr>
            <w:rFonts w:ascii="Arial" w:hAnsi="Arial"/>
            <w:lang w:val="fr-FR"/>
          </w:rPr>
          <w:id w:val="154740497"/>
          <w:placeholder>
            <w:docPart w:val="A70F4EEB55E64A41B9EB95A5BF8BA645"/>
          </w:placeholder>
        </w:sdtPr>
        <w:sdtEndPr/>
        <w:sdtContent>
          <w:r w:rsidR="00CA0B2F" w:rsidRPr="005F6F46">
            <w:rPr>
              <w:rFonts w:ascii="Arial" w:hAnsi="Arial" w:cs="Arial"/>
              <w:bCs/>
              <w:lang w:val="es-AR" w:eastAsia="es-ES"/>
            </w:rPr>
            <w:t>la finalidad perseguida con la resolución impugnada, no es otra que dar cumplimiento</w:t>
          </w:r>
          <w:r w:rsidR="00CA0B2F">
            <w:rPr>
              <w:rFonts w:ascii="Arial" w:hAnsi="Arial" w:cs="Arial"/>
              <w:bCs/>
              <w:lang w:val="es-AR" w:eastAsia="es-ES"/>
            </w:rPr>
            <w:t xml:space="preserve"> </w:t>
          </w:r>
          <w:r w:rsidR="00CA0B2F" w:rsidRPr="005F6F46">
            <w:rPr>
              <w:rFonts w:ascii="Arial" w:hAnsi="Arial" w:cs="Arial"/>
              <w:bCs/>
              <w:lang w:val="es-AR" w:eastAsia="es-ES"/>
            </w:rPr>
            <w:t>al citado Decreto, conjugando el mantenimiento de la población de lobos, con los daños y perjuicios que</w:t>
          </w:r>
          <w:r w:rsidR="00CA0B2F">
            <w:rPr>
              <w:rFonts w:ascii="Arial" w:hAnsi="Arial" w:cs="Arial"/>
              <w:bCs/>
              <w:lang w:val="es-AR" w:eastAsia="es-ES"/>
            </w:rPr>
            <w:t xml:space="preserve"> </w:t>
          </w:r>
          <w:r w:rsidR="00CA0B2F" w:rsidRPr="005F6F46">
            <w:rPr>
              <w:rFonts w:ascii="Arial" w:hAnsi="Arial" w:cs="Arial"/>
              <w:bCs/>
              <w:lang w:val="es-AR" w:eastAsia="es-ES"/>
            </w:rPr>
            <w:t>ocasiona a los ganaderos, atendiendo a la evolución de unos y otros en ejercicios anteriores con la finalidad</w:t>
          </w:r>
          <w:r w:rsidR="00CA0B2F">
            <w:rPr>
              <w:rFonts w:ascii="Arial" w:hAnsi="Arial" w:cs="Arial"/>
              <w:bCs/>
              <w:lang w:val="es-AR" w:eastAsia="es-ES"/>
            </w:rPr>
            <w:t xml:space="preserve"> </w:t>
          </w:r>
          <w:r w:rsidR="00CA0B2F" w:rsidRPr="005F6F46">
            <w:rPr>
              <w:rFonts w:ascii="Arial" w:hAnsi="Arial" w:cs="Arial"/>
              <w:bCs/>
              <w:lang w:val="es-AR" w:eastAsia="es-ES"/>
            </w:rPr>
            <w:t>de proteger al lobo y a la vez evitar la conflictividad social que pudiera producirse por parte de los ganaderos,</w:t>
          </w:r>
          <w:r w:rsidR="00CA0B2F">
            <w:rPr>
              <w:rFonts w:ascii="Arial" w:hAnsi="Arial" w:cs="Arial"/>
              <w:bCs/>
              <w:lang w:val="es-AR" w:eastAsia="es-ES"/>
            </w:rPr>
            <w:t xml:space="preserve"> </w:t>
          </w:r>
          <w:r w:rsidR="00CA0B2F" w:rsidRPr="005F6F46">
            <w:rPr>
              <w:rFonts w:ascii="Arial" w:hAnsi="Arial" w:cs="Arial"/>
              <w:bCs/>
              <w:lang w:val="es-AR" w:eastAsia="es-ES"/>
            </w:rPr>
            <w:t>sin que en ningún caso se pretenda su extinción, como se pone de manifiesto en el propio programa, en el que</w:t>
          </w:r>
          <w:r w:rsidR="00CA0B2F">
            <w:rPr>
              <w:rFonts w:ascii="Arial" w:hAnsi="Arial" w:cs="Arial"/>
              <w:bCs/>
              <w:lang w:val="es-AR" w:eastAsia="es-ES"/>
            </w:rPr>
            <w:t xml:space="preserve"> </w:t>
          </w:r>
          <w:r w:rsidR="00CA0B2F" w:rsidRPr="005F6F46">
            <w:rPr>
              <w:rFonts w:ascii="Arial" w:hAnsi="Arial" w:cs="Arial"/>
              <w:bCs/>
              <w:lang w:val="es-AR" w:eastAsia="es-ES"/>
            </w:rPr>
            <w:t>se recoge un Plan anual a revisar o mantener en ejercicios posteriores.</w:t>
          </w:r>
          <w:r w:rsidR="00CA0B2F">
            <w:rPr>
              <w:rFonts w:ascii="Arial" w:hAnsi="Arial" w:cs="Arial"/>
              <w:bCs/>
              <w:lang w:val="es-AR" w:eastAsia="es-ES"/>
            </w:rPr>
            <w:t xml:space="preserve"> </w:t>
          </w:r>
        </w:sdtContent>
      </w:sdt>
    </w:p>
    <w:p w14:paraId="25A08A36" w14:textId="2BED4624" w:rsidR="00681A36" w:rsidRDefault="00681A36" w:rsidP="00681A36">
      <w:pPr>
        <w:rPr>
          <w:rFonts w:ascii="Arial" w:hAnsi="Arial" w:cs="Arial"/>
          <w:bCs/>
          <w:lang w:val="es-AR" w:eastAsia="es-ES"/>
        </w:rPr>
      </w:pPr>
      <w:r>
        <w:rPr>
          <w:rFonts w:ascii="Arial" w:hAnsi="Arial" w:cs="Arial"/>
          <w:bCs/>
          <w:lang w:val="es-AR" w:eastAsia="es-ES"/>
        </w:rPr>
        <w:t xml:space="preserve">Igualmente se descarta el juego del </w:t>
      </w:r>
      <w:r w:rsidRPr="005F6F46">
        <w:rPr>
          <w:rFonts w:ascii="Arial" w:hAnsi="Arial" w:cs="Arial"/>
          <w:bCs/>
          <w:lang w:val="es-AR" w:eastAsia="es-ES"/>
        </w:rPr>
        <w:t>principio de cautela o de</w:t>
      </w:r>
      <w:r>
        <w:rPr>
          <w:rFonts w:ascii="Arial" w:hAnsi="Arial" w:cs="Arial"/>
          <w:bCs/>
          <w:lang w:val="es-AR" w:eastAsia="es-ES"/>
        </w:rPr>
        <w:t xml:space="preserve"> precaución que, en realidad, el recurso no desarrolla</w:t>
      </w:r>
      <w:r w:rsidRPr="005F6F46">
        <w:rPr>
          <w:rFonts w:ascii="Arial" w:hAnsi="Arial" w:cs="Arial"/>
          <w:bCs/>
          <w:lang w:val="es-AR" w:eastAsia="es-ES"/>
        </w:rPr>
        <w:t xml:space="preserve"> convenientemente ni parece que en</w:t>
      </w:r>
      <w:r>
        <w:rPr>
          <w:rFonts w:ascii="Arial" w:hAnsi="Arial" w:cs="Arial"/>
          <w:bCs/>
          <w:lang w:val="es-AR" w:eastAsia="es-ES"/>
        </w:rPr>
        <w:t xml:space="preserve"> </w:t>
      </w:r>
      <w:r w:rsidRPr="005F6F46">
        <w:rPr>
          <w:rFonts w:ascii="Arial" w:hAnsi="Arial" w:cs="Arial"/>
          <w:bCs/>
          <w:lang w:val="es-AR" w:eastAsia="es-ES"/>
        </w:rPr>
        <w:t>este supuesto pueda aplicarse, especialmente a la vista de los informes técnicos que ha justificado la adopción</w:t>
      </w:r>
      <w:r>
        <w:rPr>
          <w:rFonts w:ascii="Arial" w:hAnsi="Arial" w:cs="Arial"/>
          <w:bCs/>
          <w:lang w:val="es-AR" w:eastAsia="es-ES"/>
        </w:rPr>
        <w:t xml:space="preserve"> </w:t>
      </w:r>
      <w:r w:rsidRPr="005F6F46">
        <w:rPr>
          <w:rFonts w:ascii="Arial" w:hAnsi="Arial" w:cs="Arial"/>
          <w:bCs/>
          <w:lang w:val="es-AR" w:eastAsia="es-ES"/>
        </w:rPr>
        <w:t>de las medidas de control por parte de la Administración demandada</w:t>
      </w:r>
      <w:r>
        <w:rPr>
          <w:rFonts w:ascii="Arial" w:hAnsi="Arial" w:cs="Arial"/>
          <w:bCs/>
          <w:lang w:val="es-AR" w:eastAsia="es-ES"/>
        </w:rPr>
        <w:t xml:space="preserve"> (mismo Fundamento de Derecho quinto). Y se desestima la indemnización solicitada porque </w:t>
      </w:r>
      <w:r w:rsidRPr="005F6F46">
        <w:rPr>
          <w:rFonts w:ascii="Arial" w:hAnsi="Arial" w:cs="Arial"/>
          <w:bCs/>
          <w:lang w:val="es-AR" w:eastAsia="es-ES"/>
        </w:rPr>
        <w:t>el plan impugnado no ha revelado ningún elemento que</w:t>
      </w:r>
      <w:r>
        <w:rPr>
          <w:rFonts w:ascii="Arial" w:hAnsi="Arial" w:cs="Arial"/>
          <w:bCs/>
          <w:lang w:val="es-AR" w:eastAsia="es-ES"/>
        </w:rPr>
        <w:t xml:space="preserve"> </w:t>
      </w:r>
      <w:r w:rsidRPr="005F6F46">
        <w:rPr>
          <w:rFonts w:ascii="Arial" w:hAnsi="Arial" w:cs="Arial"/>
          <w:bCs/>
          <w:lang w:val="es-AR" w:eastAsia="es-ES"/>
        </w:rPr>
        <w:t>sea contrario a Derecho y</w:t>
      </w:r>
      <w:r>
        <w:rPr>
          <w:rFonts w:ascii="Arial" w:hAnsi="Arial" w:cs="Arial"/>
          <w:bCs/>
          <w:lang w:val="es-AR" w:eastAsia="es-ES"/>
        </w:rPr>
        <w:t xml:space="preserve"> “</w:t>
      </w:r>
      <w:r w:rsidRPr="005F6F46">
        <w:rPr>
          <w:rFonts w:ascii="Arial" w:hAnsi="Arial" w:cs="Arial"/>
          <w:bCs/>
          <w:lang w:val="es-AR" w:eastAsia="es-ES"/>
        </w:rPr>
        <w:t>no hay duda alguna de que no concurre ninguno de</w:t>
      </w:r>
      <w:r>
        <w:rPr>
          <w:rFonts w:ascii="Arial" w:hAnsi="Arial" w:cs="Arial"/>
          <w:bCs/>
          <w:lang w:val="es-AR" w:eastAsia="es-ES"/>
        </w:rPr>
        <w:t xml:space="preserve"> </w:t>
      </w:r>
      <w:r w:rsidRPr="005F6F46">
        <w:rPr>
          <w:rFonts w:ascii="Arial" w:hAnsi="Arial" w:cs="Arial"/>
          <w:bCs/>
          <w:lang w:val="es-AR" w:eastAsia="es-ES"/>
        </w:rPr>
        <w:t>los elementos que determinan la existencia de la responsabilidad patrimonial de la Administración</w:t>
      </w:r>
      <w:r>
        <w:rPr>
          <w:rFonts w:ascii="Arial" w:hAnsi="Arial" w:cs="Arial"/>
          <w:bCs/>
          <w:lang w:val="es-AR" w:eastAsia="es-ES"/>
        </w:rPr>
        <w:t>” (Fundamento de Derecho séptimo).</w:t>
      </w:r>
    </w:p>
    <w:p w14:paraId="1AE2F809" w14:textId="77777777" w:rsidR="00681A36" w:rsidRDefault="00681A36" w:rsidP="00681A36">
      <w:pPr>
        <w:rPr>
          <w:rFonts w:ascii="Arial" w:hAnsi="Arial" w:cs="Arial"/>
          <w:bCs/>
          <w:lang w:val="es-AR" w:eastAsia="es-ES"/>
        </w:rPr>
      </w:pPr>
      <w:r>
        <w:rPr>
          <w:rFonts w:ascii="Arial" w:hAnsi="Arial" w:cs="Arial"/>
          <w:bCs/>
          <w:lang w:val="es-AR" w:eastAsia="es-ES"/>
        </w:rPr>
        <w:t xml:space="preserve">Por lo que se </w:t>
      </w:r>
      <w:r w:rsidRPr="005F6F46">
        <w:rPr>
          <w:rFonts w:ascii="Arial" w:hAnsi="Arial" w:cs="Arial"/>
          <w:bCs/>
          <w:lang w:val="es-AR" w:eastAsia="es-ES"/>
        </w:rPr>
        <w:t>desestima</w:t>
      </w:r>
      <w:r>
        <w:rPr>
          <w:rFonts w:ascii="Arial" w:hAnsi="Arial" w:cs="Arial"/>
          <w:bCs/>
          <w:lang w:val="es-AR" w:eastAsia="es-ES"/>
        </w:rPr>
        <w:t xml:space="preserve"> el</w:t>
      </w:r>
      <w:r w:rsidRPr="005F6F46">
        <w:rPr>
          <w:rFonts w:ascii="Arial" w:hAnsi="Arial" w:cs="Arial"/>
          <w:bCs/>
          <w:lang w:val="es-AR" w:eastAsia="es-ES"/>
        </w:rPr>
        <w:t xml:space="preserve"> recurso jurisdiccional entablado</w:t>
      </w:r>
      <w:r>
        <w:rPr>
          <w:rFonts w:ascii="Arial" w:hAnsi="Arial" w:cs="Arial"/>
          <w:bCs/>
          <w:lang w:val="es-AR" w:eastAsia="es-ES"/>
        </w:rPr>
        <w:t xml:space="preserve">, con </w:t>
      </w:r>
      <w:r w:rsidRPr="005F6F46">
        <w:rPr>
          <w:rFonts w:ascii="Arial" w:hAnsi="Arial" w:cs="Arial"/>
          <w:bCs/>
          <w:lang w:val="es-AR" w:eastAsia="es-ES"/>
        </w:rPr>
        <w:t>impo</w:t>
      </w:r>
      <w:r>
        <w:rPr>
          <w:rFonts w:ascii="Arial" w:hAnsi="Arial" w:cs="Arial"/>
          <w:bCs/>
          <w:lang w:val="es-AR" w:eastAsia="es-ES"/>
        </w:rPr>
        <w:t>sición de</w:t>
      </w:r>
      <w:r w:rsidRPr="005F6F46">
        <w:rPr>
          <w:rFonts w:ascii="Arial" w:hAnsi="Arial" w:cs="Arial"/>
          <w:bCs/>
          <w:lang w:val="es-AR" w:eastAsia="es-ES"/>
        </w:rPr>
        <w:t xml:space="preserve"> las costas por un importe máximo por todos los conceptos de 500 euros, más el IVA que</w:t>
      </w:r>
      <w:r>
        <w:rPr>
          <w:rFonts w:ascii="Arial" w:hAnsi="Arial" w:cs="Arial"/>
          <w:bCs/>
          <w:lang w:val="es-AR" w:eastAsia="es-ES"/>
        </w:rPr>
        <w:t xml:space="preserve"> </w:t>
      </w:r>
      <w:r w:rsidRPr="005F6F46">
        <w:rPr>
          <w:rFonts w:ascii="Arial" w:hAnsi="Arial" w:cs="Arial"/>
          <w:bCs/>
          <w:lang w:val="es-AR" w:eastAsia="es-ES"/>
        </w:rPr>
        <w:t xml:space="preserve">procediera, de los cuales 300 euros se reconocen como máximo en </w:t>
      </w:r>
      <w:r w:rsidRPr="005F6F46">
        <w:rPr>
          <w:rFonts w:ascii="Arial" w:hAnsi="Arial" w:cs="Arial"/>
          <w:bCs/>
          <w:lang w:val="es-AR" w:eastAsia="es-ES"/>
        </w:rPr>
        <w:lastRenderedPageBreak/>
        <w:t>favor de la Administración demandada y</w:t>
      </w:r>
      <w:r>
        <w:rPr>
          <w:rFonts w:ascii="Arial" w:hAnsi="Arial" w:cs="Arial"/>
          <w:bCs/>
          <w:lang w:val="es-AR" w:eastAsia="es-ES"/>
        </w:rPr>
        <w:t xml:space="preserve"> </w:t>
      </w:r>
      <w:r w:rsidRPr="005F6F46">
        <w:rPr>
          <w:rFonts w:ascii="Arial" w:hAnsi="Arial" w:cs="Arial"/>
          <w:bCs/>
          <w:lang w:val="es-AR" w:eastAsia="es-ES"/>
        </w:rPr>
        <w:t>100 euros se reconocen como máximo por cada una de las</w:t>
      </w:r>
      <w:r>
        <w:rPr>
          <w:rFonts w:ascii="Arial" w:hAnsi="Arial" w:cs="Arial"/>
          <w:bCs/>
          <w:lang w:val="es-AR" w:eastAsia="es-ES"/>
        </w:rPr>
        <w:t xml:space="preserve"> asociaciones</w:t>
      </w:r>
      <w:r w:rsidRPr="005F6F46">
        <w:rPr>
          <w:rFonts w:ascii="Arial" w:hAnsi="Arial" w:cs="Arial"/>
          <w:bCs/>
          <w:lang w:val="es-AR" w:eastAsia="es-ES"/>
        </w:rPr>
        <w:t xml:space="preserve"> codemandadas</w:t>
      </w:r>
      <w:r>
        <w:rPr>
          <w:rFonts w:ascii="Arial" w:hAnsi="Arial" w:cs="Arial"/>
          <w:bCs/>
          <w:lang w:val="es-AR" w:eastAsia="es-ES"/>
        </w:rPr>
        <w:t xml:space="preserve">. </w:t>
      </w:r>
    </w:p>
    <w:p w14:paraId="512EEDD4" w14:textId="48A8A739" w:rsidR="00705CA6" w:rsidRDefault="00681A36" w:rsidP="00681A36">
      <w:pPr>
        <w:rPr>
          <w:rFonts w:ascii="Arial" w:hAnsi="Arial" w:cs="Arial"/>
          <w:bCs/>
          <w:lang w:val="es-AR" w:eastAsia="es-ES"/>
        </w:rPr>
      </w:pPr>
      <w:r>
        <w:rPr>
          <w:rFonts w:ascii="Arial" w:hAnsi="Arial" w:cs="Arial"/>
          <w:bCs/>
          <w:lang w:val="es-AR" w:eastAsia="es-ES"/>
        </w:rPr>
        <w:t xml:space="preserve">No parece que, ni mucho menos, se haya escrito ya el último capítulo en la judicialización de estos instrumentos. Los que están por llegar quizás versen sobre argumentos nuevos, dada la inclusión de la especie al completo en el LESPRE, que a su vez también se encuentra </w:t>
      </w:r>
      <w:r>
        <w:rPr>
          <w:rFonts w:ascii="Arial" w:hAnsi="Arial" w:cs="Arial"/>
          <w:bCs/>
          <w:i/>
          <w:iCs/>
          <w:lang w:val="es-AR" w:eastAsia="es-ES"/>
        </w:rPr>
        <w:t>sub judice</w:t>
      </w:r>
      <w:r>
        <w:rPr>
          <w:rFonts w:ascii="Arial" w:hAnsi="Arial" w:cs="Arial"/>
          <w:bCs/>
          <w:lang w:val="es-AR" w:eastAsia="es-ES"/>
        </w:rPr>
        <w:t>. Un asunto por tanto para no perder de vista</w:t>
      </w:r>
      <w:r>
        <w:rPr>
          <w:rFonts w:ascii="Arial" w:hAnsi="Arial" w:cs="Arial"/>
          <w:bCs/>
          <w:lang w:val="es-AR" w:eastAsia="es-ES"/>
        </w:rPr>
        <w:t>.</w:t>
      </w:r>
    </w:p>
    <w:p w14:paraId="09240EE0" w14:textId="391E3F65" w:rsidR="00681A36" w:rsidRDefault="00681A36" w:rsidP="00681A36">
      <w:pPr>
        <w:rPr>
          <w:rFonts w:ascii="Arial" w:hAnsi="Arial" w:cs="Arial"/>
          <w:b/>
          <w:lang w:val="es-AR" w:eastAsia="es-ES"/>
        </w:rPr>
      </w:pPr>
      <w:r>
        <w:rPr>
          <w:rFonts w:ascii="Arial" w:hAnsi="Arial" w:cs="Arial"/>
          <w:b/>
          <w:lang w:val="es-AR" w:eastAsia="es-ES"/>
        </w:rPr>
        <w:t xml:space="preserve">2. </w:t>
      </w:r>
      <w:r w:rsidR="00B22357">
        <w:rPr>
          <w:rFonts w:ascii="Arial" w:hAnsi="Arial" w:cs="Arial"/>
          <w:b/>
          <w:lang w:val="es-AR" w:eastAsia="es-ES"/>
        </w:rPr>
        <w:t>R</w:t>
      </w:r>
      <w:r w:rsidR="00B22357">
        <w:rPr>
          <w:rFonts w:ascii="Arial" w:hAnsi="Arial" w:cs="Arial"/>
          <w:b/>
          <w:lang w:val="es-AR" w:eastAsia="es-ES"/>
        </w:rPr>
        <w:t>AMINP, CONTINUA LA INACTIVIDAD REGULATORIA</w:t>
      </w:r>
    </w:p>
    <w:p w14:paraId="0D36B6F0" w14:textId="77777777" w:rsidR="006725E7" w:rsidRDefault="006725E7" w:rsidP="006725E7">
      <w:pPr>
        <w:rPr>
          <w:rFonts w:ascii="Arial" w:hAnsi="Arial" w:cs="Arial"/>
          <w:bCs/>
          <w:lang w:val="es-AR" w:eastAsia="es-ES"/>
        </w:rPr>
      </w:pPr>
      <w:r>
        <w:rPr>
          <w:rFonts w:ascii="Arial" w:hAnsi="Arial" w:cs="Arial"/>
          <w:bCs/>
          <w:lang w:val="es-AR" w:eastAsia="es-ES"/>
        </w:rPr>
        <w:t xml:space="preserve">La última entrega de esta sección terminó con el comentario de una sentencia del TSJA particularmente dura respecto a la inactividad de la Administración autonómica en la aprobación de normativa sobre actividades clasificadas y el nulo valor de un simple criterio interpretativo sobre el número de cabezas en las explotaciones ganaderas como factor para desplazar la aplicación del vigente RAMINP (sentencia 1260/2021, de 29 de diciembre). </w:t>
      </w:r>
    </w:p>
    <w:p w14:paraId="5872C5FB" w14:textId="46C0BD65" w:rsidR="00B22357" w:rsidRDefault="006725E7" w:rsidP="006725E7">
      <w:pPr>
        <w:rPr>
          <w:rFonts w:ascii="Arial" w:hAnsi="Arial" w:cs="Arial"/>
          <w:bCs/>
          <w:lang w:val="es-AR" w:eastAsia="es-ES"/>
        </w:rPr>
      </w:pPr>
      <w:r>
        <w:rPr>
          <w:rFonts w:ascii="Arial" w:hAnsi="Arial" w:cs="Arial"/>
          <w:bCs/>
          <w:lang w:val="es-AR" w:eastAsia="es-ES"/>
        </w:rPr>
        <w:t xml:space="preserve">Pues bien, en el período que cubre la presente crónica el TSJA ha vuelto a pronunciarse en los mismos términos en sentencias 457/2022, de 20 de mayo, recurso de apelación 361/2021 y </w:t>
      </w:r>
      <w:r w:rsidRPr="001B4E08">
        <w:rPr>
          <w:rFonts w:ascii="Arial" w:hAnsi="Arial" w:cs="Arial"/>
          <w:bCs/>
          <w:lang w:val="es-AR" w:eastAsia="es-ES"/>
        </w:rPr>
        <w:t>531/2022</w:t>
      </w:r>
      <w:r>
        <w:rPr>
          <w:rFonts w:ascii="Arial" w:hAnsi="Arial" w:cs="Arial"/>
          <w:bCs/>
          <w:lang w:val="es-AR" w:eastAsia="es-ES"/>
        </w:rPr>
        <w:t xml:space="preserve">, de 17 de junio, recurso de apelación </w:t>
      </w:r>
      <w:r w:rsidRPr="001B4E08">
        <w:rPr>
          <w:rFonts w:ascii="Arial" w:hAnsi="Arial" w:cs="Arial"/>
          <w:bCs/>
          <w:lang w:val="es-AR" w:eastAsia="es-ES"/>
        </w:rPr>
        <w:t>365/2021</w:t>
      </w:r>
      <w:r>
        <w:rPr>
          <w:rFonts w:ascii="Arial" w:hAnsi="Arial" w:cs="Arial"/>
          <w:bCs/>
          <w:lang w:val="es-AR" w:eastAsia="es-ES"/>
        </w:rPr>
        <w:t>: a falta de previsión normativa, un criterio interpretativo no puede ser suficiente para dejar de considerar una actividad como clasificada desplazando el RAMINP, que sigue vigente en esta Comunidad Autónoma</w:t>
      </w:r>
      <w:r>
        <w:rPr>
          <w:rFonts w:ascii="Arial" w:hAnsi="Arial" w:cs="Arial"/>
          <w:bCs/>
          <w:lang w:val="es-AR" w:eastAsia="es-ES"/>
        </w:rPr>
        <w:t>.</w:t>
      </w:r>
    </w:p>
    <w:p w14:paraId="5CDE33B2" w14:textId="002A5C93" w:rsidR="00A47D21" w:rsidRDefault="006725E7" w:rsidP="00A47D21">
      <w:pPr>
        <w:rPr>
          <w:rFonts w:ascii="Arial" w:hAnsi="Arial" w:cs="Arial"/>
          <w:b/>
          <w:lang w:val="es-AR" w:eastAsia="es-ES"/>
        </w:rPr>
      </w:pPr>
      <w:r>
        <w:rPr>
          <w:rFonts w:ascii="Arial" w:hAnsi="Arial" w:cs="Arial"/>
          <w:b/>
          <w:lang w:val="es-AR" w:eastAsia="es-ES"/>
        </w:rPr>
        <w:t xml:space="preserve">3. </w:t>
      </w:r>
      <w:r w:rsidR="00A47D21">
        <w:rPr>
          <w:rFonts w:ascii="Arial" w:hAnsi="Arial" w:cs="Arial"/>
          <w:b/>
          <w:lang w:val="es-AR" w:eastAsia="es-ES"/>
        </w:rPr>
        <w:t>IN</w:t>
      </w:r>
      <w:r w:rsidR="00A47D21">
        <w:rPr>
          <w:rFonts w:ascii="Arial" w:hAnsi="Arial" w:cs="Arial"/>
          <w:b/>
          <w:lang w:val="es-AR" w:eastAsia="es-ES"/>
        </w:rPr>
        <w:t>ACTIVIDAD EN LA GESTIÓN Y RESTAURACIÓN DE LOS HÁBITATS</w:t>
      </w:r>
    </w:p>
    <w:p w14:paraId="7529A529" w14:textId="77777777" w:rsidR="009416F2" w:rsidRDefault="009416F2" w:rsidP="009416F2">
      <w:pPr>
        <w:rPr>
          <w:rFonts w:ascii="Arial" w:hAnsi="Arial" w:cs="Arial"/>
          <w:bCs/>
          <w:lang w:val="es-AR" w:eastAsia="es-ES"/>
        </w:rPr>
      </w:pPr>
      <w:r>
        <w:rPr>
          <w:rFonts w:ascii="Arial" w:hAnsi="Arial" w:cs="Arial"/>
          <w:bCs/>
          <w:lang w:val="es-AR" w:eastAsia="es-ES"/>
        </w:rPr>
        <w:t xml:space="preserve">Nos ocupamos ahora de otro tipo de inactividad, la denunciada por </w:t>
      </w:r>
      <w:r w:rsidRPr="00082231">
        <w:rPr>
          <w:rFonts w:ascii="Arial" w:hAnsi="Arial" w:cs="Arial"/>
          <w:bCs/>
          <w:lang w:val="es-AR" w:eastAsia="es-ES"/>
        </w:rPr>
        <w:t>la Sociedad Española de Ornitología (SEO/BirdLife) en lo que se refiere a la desprotección de los cauces y vegas de varios arroyos afluentes del Río</w:t>
      </w:r>
      <w:r>
        <w:rPr>
          <w:rFonts w:ascii="Arial" w:hAnsi="Arial" w:cs="Arial"/>
          <w:bCs/>
          <w:lang w:val="es-AR" w:eastAsia="es-ES"/>
        </w:rPr>
        <w:t xml:space="preserve"> </w:t>
      </w:r>
      <w:r w:rsidRPr="00082231">
        <w:rPr>
          <w:rFonts w:ascii="Arial" w:hAnsi="Arial" w:cs="Arial"/>
          <w:bCs/>
          <w:lang w:val="es-AR" w:eastAsia="es-ES"/>
        </w:rPr>
        <w:t>Gillón, que forma parte de la cuenca alta del Río Narcea, uno de los principales cursos fluviales de la Cordillera</w:t>
      </w:r>
      <w:r>
        <w:rPr>
          <w:rFonts w:ascii="Arial" w:hAnsi="Arial" w:cs="Arial"/>
          <w:bCs/>
          <w:lang w:val="es-AR" w:eastAsia="es-ES"/>
        </w:rPr>
        <w:t xml:space="preserve"> </w:t>
      </w:r>
      <w:r w:rsidRPr="00082231">
        <w:rPr>
          <w:rFonts w:ascii="Arial" w:hAnsi="Arial" w:cs="Arial"/>
          <w:bCs/>
          <w:lang w:val="es-AR" w:eastAsia="es-ES"/>
        </w:rPr>
        <w:t>Cantábrica y de sus sistemas ecológicos vinculados</w:t>
      </w:r>
      <w:r>
        <w:rPr>
          <w:rStyle w:val="Refdenotaalpie"/>
          <w:bCs/>
          <w:lang w:val="es-AR" w:eastAsia="es-ES"/>
        </w:rPr>
        <w:footnoteReference w:id="3"/>
      </w:r>
      <w:r>
        <w:rPr>
          <w:rFonts w:ascii="Arial" w:hAnsi="Arial" w:cs="Arial"/>
          <w:bCs/>
          <w:lang w:val="es-AR" w:eastAsia="es-ES"/>
        </w:rPr>
        <w:t xml:space="preserve">. La Sociedad, </w:t>
      </w:r>
      <w:r w:rsidRPr="00082231">
        <w:rPr>
          <w:rFonts w:ascii="Arial" w:hAnsi="Arial" w:cs="Arial"/>
          <w:bCs/>
          <w:lang w:val="es-AR" w:eastAsia="es-ES"/>
        </w:rPr>
        <w:t>el 26 de marzo</w:t>
      </w:r>
      <w:r>
        <w:rPr>
          <w:rFonts w:ascii="Arial" w:hAnsi="Arial" w:cs="Arial"/>
          <w:bCs/>
          <w:lang w:val="es-AR" w:eastAsia="es-ES"/>
        </w:rPr>
        <w:t xml:space="preserve"> </w:t>
      </w:r>
      <w:r w:rsidRPr="00082231">
        <w:rPr>
          <w:rFonts w:ascii="Arial" w:hAnsi="Arial" w:cs="Arial"/>
          <w:bCs/>
          <w:lang w:val="es-AR" w:eastAsia="es-ES"/>
        </w:rPr>
        <w:t>de 2019</w:t>
      </w:r>
      <w:r>
        <w:rPr>
          <w:rFonts w:ascii="Arial" w:hAnsi="Arial" w:cs="Arial"/>
          <w:bCs/>
          <w:lang w:val="es-AR" w:eastAsia="es-ES"/>
        </w:rPr>
        <w:t>, se dirigió</w:t>
      </w:r>
      <w:r w:rsidRPr="00082231">
        <w:rPr>
          <w:rFonts w:ascii="Arial" w:hAnsi="Arial" w:cs="Arial"/>
          <w:bCs/>
          <w:lang w:val="es-AR" w:eastAsia="es-ES"/>
        </w:rPr>
        <w:t xml:space="preserve"> </w:t>
      </w:r>
      <w:r>
        <w:rPr>
          <w:rFonts w:ascii="Arial" w:hAnsi="Arial" w:cs="Arial"/>
          <w:bCs/>
          <w:lang w:val="es-AR" w:eastAsia="es-ES"/>
        </w:rPr>
        <w:t xml:space="preserve">a </w:t>
      </w:r>
      <w:r w:rsidRPr="00082231">
        <w:rPr>
          <w:rFonts w:ascii="Arial" w:hAnsi="Arial" w:cs="Arial"/>
          <w:bCs/>
          <w:lang w:val="es-AR" w:eastAsia="es-ES"/>
        </w:rPr>
        <w:t>la Consejería de Infraestructuras, Ordenación del Territorio y Medio Ambiente del Principado</w:t>
      </w:r>
      <w:r>
        <w:rPr>
          <w:rFonts w:ascii="Arial" w:hAnsi="Arial" w:cs="Arial"/>
          <w:bCs/>
          <w:lang w:val="es-AR" w:eastAsia="es-ES"/>
        </w:rPr>
        <w:t xml:space="preserve"> </w:t>
      </w:r>
      <w:r w:rsidRPr="00082231">
        <w:rPr>
          <w:rFonts w:ascii="Arial" w:hAnsi="Arial" w:cs="Arial"/>
          <w:bCs/>
          <w:lang w:val="es-AR" w:eastAsia="es-ES"/>
        </w:rPr>
        <w:t xml:space="preserve">de </w:t>
      </w:r>
      <w:r w:rsidRPr="00082231">
        <w:rPr>
          <w:rFonts w:ascii="Arial" w:hAnsi="Arial" w:cs="Arial"/>
          <w:bCs/>
          <w:lang w:val="es-AR" w:eastAsia="es-ES"/>
        </w:rPr>
        <w:lastRenderedPageBreak/>
        <w:t>Asturias</w:t>
      </w:r>
      <w:r>
        <w:rPr>
          <w:rFonts w:ascii="Arial" w:hAnsi="Arial" w:cs="Arial"/>
          <w:bCs/>
          <w:lang w:val="es-AR" w:eastAsia="es-ES"/>
        </w:rPr>
        <w:t xml:space="preserve"> </w:t>
      </w:r>
      <w:r w:rsidRPr="00082231">
        <w:rPr>
          <w:rFonts w:ascii="Arial" w:hAnsi="Arial" w:cs="Arial"/>
          <w:bCs/>
          <w:lang w:val="es-AR" w:eastAsia="es-ES"/>
        </w:rPr>
        <w:t>solicita</w:t>
      </w:r>
      <w:r>
        <w:rPr>
          <w:rFonts w:ascii="Arial" w:hAnsi="Arial" w:cs="Arial"/>
          <w:bCs/>
          <w:lang w:val="es-AR" w:eastAsia="es-ES"/>
        </w:rPr>
        <w:t>ndo</w:t>
      </w:r>
      <w:r w:rsidRPr="00082231">
        <w:rPr>
          <w:rFonts w:ascii="Arial" w:hAnsi="Arial" w:cs="Arial"/>
          <w:bCs/>
          <w:lang w:val="es-AR" w:eastAsia="es-ES"/>
        </w:rPr>
        <w:t xml:space="preserve"> "iniciar con carácter inmediato un programa de restauración de la zona afectada</w:t>
      </w:r>
      <w:r>
        <w:rPr>
          <w:rFonts w:ascii="Arial" w:hAnsi="Arial" w:cs="Arial"/>
          <w:bCs/>
          <w:lang w:val="es-AR" w:eastAsia="es-ES"/>
        </w:rPr>
        <w:t xml:space="preserve"> </w:t>
      </w:r>
      <w:r w:rsidRPr="00082231">
        <w:rPr>
          <w:rFonts w:ascii="Arial" w:hAnsi="Arial" w:cs="Arial"/>
          <w:bCs/>
          <w:lang w:val="es-AR" w:eastAsia="es-ES"/>
        </w:rPr>
        <w:t xml:space="preserve">descrita, que comprenda los requisitos para ser considerado, siquiera parcialmente, plan de gestión de </w:t>
      </w:r>
      <w:r>
        <w:rPr>
          <w:rFonts w:ascii="Arial" w:hAnsi="Arial" w:cs="Arial"/>
          <w:bCs/>
          <w:lang w:val="es-AR" w:eastAsia="es-ES"/>
        </w:rPr>
        <w:t>esta z</w:t>
      </w:r>
      <w:r w:rsidRPr="00082231">
        <w:rPr>
          <w:rFonts w:ascii="Arial" w:hAnsi="Arial" w:cs="Arial"/>
          <w:bCs/>
          <w:lang w:val="es-AR" w:eastAsia="es-ES"/>
        </w:rPr>
        <w:t>ona en su condición de lugar Natura 2000 y que contenga las medidas precisas para detener el deterioro de</w:t>
      </w:r>
      <w:r>
        <w:rPr>
          <w:rFonts w:ascii="Arial" w:hAnsi="Arial" w:cs="Arial"/>
          <w:bCs/>
          <w:lang w:val="es-AR" w:eastAsia="es-ES"/>
        </w:rPr>
        <w:t xml:space="preserve"> </w:t>
      </w:r>
      <w:r w:rsidRPr="00082231">
        <w:rPr>
          <w:rFonts w:ascii="Arial" w:hAnsi="Arial" w:cs="Arial"/>
          <w:bCs/>
          <w:lang w:val="es-AR" w:eastAsia="es-ES"/>
        </w:rPr>
        <w:t>los hábitats y especies"</w:t>
      </w:r>
      <w:r>
        <w:rPr>
          <w:rFonts w:ascii="Arial" w:hAnsi="Arial" w:cs="Arial"/>
          <w:bCs/>
          <w:lang w:val="es-AR" w:eastAsia="es-ES"/>
        </w:rPr>
        <w:t xml:space="preserve">. Entendiendo esa acción desestimada por silencio, la Sociedad presentó recurso contencioso-administrativo ante el TSJA (el </w:t>
      </w:r>
      <w:r w:rsidRPr="00082231">
        <w:rPr>
          <w:rFonts w:ascii="Arial" w:hAnsi="Arial" w:cs="Arial"/>
          <w:bCs/>
          <w:lang w:val="es-AR" w:eastAsia="es-ES"/>
        </w:rPr>
        <w:t>646/2020</w:t>
      </w:r>
      <w:r>
        <w:rPr>
          <w:rFonts w:ascii="Arial" w:hAnsi="Arial" w:cs="Arial"/>
          <w:bCs/>
          <w:lang w:val="es-AR" w:eastAsia="es-ES"/>
        </w:rPr>
        <w:t>).</w:t>
      </w:r>
    </w:p>
    <w:p w14:paraId="59B214F9" w14:textId="77777777" w:rsidR="009416F2" w:rsidRDefault="009416F2" w:rsidP="009416F2">
      <w:pPr>
        <w:rPr>
          <w:rFonts w:ascii="Arial" w:hAnsi="Arial" w:cs="Arial"/>
          <w:bCs/>
          <w:lang w:val="es-AR" w:eastAsia="es-ES"/>
        </w:rPr>
      </w:pPr>
      <w:r>
        <w:rPr>
          <w:rFonts w:ascii="Arial" w:hAnsi="Arial" w:cs="Arial"/>
          <w:bCs/>
          <w:lang w:val="es-AR" w:eastAsia="es-ES"/>
        </w:rPr>
        <w:t xml:space="preserve">En realidad la Administración autonómica sí había dado respuesta a la solicitud de la parte actora, manifestando su </w:t>
      </w:r>
      <w:r w:rsidRPr="00082231">
        <w:rPr>
          <w:rFonts w:ascii="Arial" w:hAnsi="Arial" w:cs="Arial"/>
          <w:bCs/>
          <w:lang w:val="es-AR" w:eastAsia="es-ES"/>
        </w:rPr>
        <w:t>voluntad de abordar a corto plazo tanto la elaboración del Instrumento de Gestión Integrada del Parque</w:t>
      </w:r>
      <w:r>
        <w:rPr>
          <w:rFonts w:ascii="Arial" w:hAnsi="Arial" w:cs="Arial"/>
          <w:bCs/>
          <w:lang w:val="es-AR" w:eastAsia="es-ES"/>
        </w:rPr>
        <w:t xml:space="preserve"> </w:t>
      </w:r>
      <w:r w:rsidRPr="00082231">
        <w:rPr>
          <w:rFonts w:ascii="Arial" w:hAnsi="Arial" w:cs="Arial"/>
          <w:bCs/>
          <w:lang w:val="es-AR" w:eastAsia="es-ES"/>
        </w:rPr>
        <w:t xml:space="preserve">Natural de Fuentes del Narcea, </w:t>
      </w:r>
      <w:proofErr w:type="spellStart"/>
      <w:r w:rsidRPr="00082231">
        <w:rPr>
          <w:rFonts w:ascii="Arial" w:hAnsi="Arial" w:cs="Arial"/>
          <w:bCs/>
          <w:lang w:val="es-AR" w:eastAsia="es-ES"/>
        </w:rPr>
        <w:t>Degaña</w:t>
      </w:r>
      <w:proofErr w:type="spellEnd"/>
      <w:r w:rsidRPr="00082231">
        <w:rPr>
          <w:rFonts w:ascii="Arial" w:hAnsi="Arial" w:cs="Arial"/>
          <w:bCs/>
          <w:lang w:val="es-AR" w:eastAsia="es-ES"/>
        </w:rPr>
        <w:t xml:space="preserve"> e Ibias</w:t>
      </w:r>
      <w:r>
        <w:rPr>
          <w:rFonts w:ascii="Arial" w:hAnsi="Arial" w:cs="Arial"/>
          <w:bCs/>
          <w:lang w:val="es-AR" w:eastAsia="es-ES"/>
        </w:rPr>
        <w:t>,</w:t>
      </w:r>
      <w:r w:rsidRPr="00082231">
        <w:rPr>
          <w:rFonts w:ascii="Arial" w:hAnsi="Arial" w:cs="Arial"/>
          <w:bCs/>
          <w:lang w:val="es-AR" w:eastAsia="es-ES"/>
        </w:rPr>
        <w:t xml:space="preserve"> como el Plan de Recuperación del Urogallo cantábrico y la</w:t>
      </w:r>
      <w:r>
        <w:rPr>
          <w:rFonts w:ascii="Arial" w:hAnsi="Arial" w:cs="Arial"/>
          <w:bCs/>
          <w:lang w:val="es-AR" w:eastAsia="es-ES"/>
        </w:rPr>
        <w:t xml:space="preserve"> </w:t>
      </w:r>
      <w:r w:rsidRPr="00082231">
        <w:rPr>
          <w:rFonts w:ascii="Arial" w:hAnsi="Arial" w:cs="Arial"/>
          <w:bCs/>
          <w:lang w:val="es-AR" w:eastAsia="es-ES"/>
        </w:rPr>
        <w:t>renovación del Plan de</w:t>
      </w:r>
      <w:r>
        <w:rPr>
          <w:rFonts w:ascii="Arial" w:hAnsi="Arial" w:cs="Arial"/>
          <w:bCs/>
          <w:lang w:val="es-AR" w:eastAsia="es-ES"/>
        </w:rPr>
        <w:t xml:space="preserve"> recuperación de Oso pardo;</w:t>
      </w:r>
      <w:r w:rsidRPr="00082231">
        <w:rPr>
          <w:rFonts w:ascii="Arial" w:hAnsi="Arial" w:cs="Arial"/>
          <w:bCs/>
          <w:lang w:val="es-AR" w:eastAsia="es-ES"/>
        </w:rPr>
        <w:t xml:space="preserve"> y</w:t>
      </w:r>
      <w:r>
        <w:rPr>
          <w:rFonts w:ascii="Arial" w:hAnsi="Arial" w:cs="Arial"/>
          <w:bCs/>
          <w:lang w:val="es-AR" w:eastAsia="es-ES"/>
        </w:rPr>
        <w:t>,</w:t>
      </w:r>
      <w:r w:rsidRPr="00082231">
        <w:rPr>
          <w:rFonts w:ascii="Arial" w:hAnsi="Arial" w:cs="Arial"/>
          <w:bCs/>
          <w:lang w:val="es-AR" w:eastAsia="es-ES"/>
        </w:rPr>
        <w:t xml:space="preserve"> a corto-medio plazo, tras la aprobación definitiva del</w:t>
      </w:r>
      <w:r>
        <w:rPr>
          <w:rFonts w:ascii="Arial" w:hAnsi="Arial" w:cs="Arial"/>
          <w:bCs/>
          <w:lang w:val="es-AR" w:eastAsia="es-ES"/>
        </w:rPr>
        <w:t xml:space="preserve"> </w:t>
      </w:r>
      <w:r w:rsidRPr="00082231">
        <w:rPr>
          <w:rFonts w:ascii="Arial" w:hAnsi="Arial" w:cs="Arial"/>
          <w:bCs/>
          <w:lang w:val="es-AR" w:eastAsia="es-ES"/>
        </w:rPr>
        <w:t>nuevo Catálogo regional de especies amenazadas, la elaboración del resto de planes de especies protegidas</w:t>
      </w:r>
      <w:r>
        <w:rPr>
          <w:rFonts w:ascii="Arial" w:hAnsi="Arial" w:cs="Arial"/>
          <w:bCs/>
          <w:lang w:val="es-AR" w:eastAsia="es-ES"/>
        </w:rPr>
        <w:t xml:space="preserve"> </w:t>
      </w:r>
      <w:r w:rsidRPr="00082231">
        <w:rPr>
          <w:rFonts w:ascii="Arial" w:hAnsi="Arial" w:cs="Arial"/>
          <w:bCs/>
          <w:lang w:val="es-AR" w:eastAsia="es-ES"/>
        </w:rPr>
        <w:t xml:space="preserve">de fauna y flora. </w:t>
      </w:r>
      <w:r>
        <w:rPr>
          <w:rFonts w:ascii="Arial" w:hAnsi="Arial" w:cs="Arial"/>
          <w:bCs/>
          <w:lang w:val="es-AR" w:eastAsia="es-ES"/>
        </w:rPr>
        <w:t>En</w:t>
      </w:r>
      <w:r w:rsidRPr="00082231">
        <w:rPr>
          <w:rFonts w:ascii="Arial" w:hAnsi="Arial" w:cs="Arial"/>
          <w:bCs/>
          <w:lang w:val="es-AR" w:eastAsia="es-ES"/>
        </w:rPr>
        <w:t xml:space="preserve"> cuanto a la falta de restauración</w:t>
      </w:r>
      <w:r>
        <w:rPr>
          <w:rFonts w:ascii="Arial" w:hAnsi="Arial" w:cs="Arial"/>
          <w:bCs/>
          <w:lang w:val="es-AR" w:eastAsia="es-ES"/>
        </w:rPr>
        <w:t xml:space="preserve"> de las zonas que se habían señalado,</w:t>
      </w:r>
      <w:r w:rsidRPr="00082231">
        <w:rPr>
          <w:rFonts w:ascii="Arial" w:hAnsi="Arial" w:cs="Arial"/>
          <w:bCs/>
          <w:lang w:val="es-AR" w:eastAsia="es-ES"/>
        </w:rPr>
        <w:t xml:space="preserve"> donde se localizan </w:t>
      </w:r>
      <w:r>
        <w:rPr>
          <w:rFonts w:ascii="Arial" w:hAnsi="Arial" w:cs="Arial"/>
          <w:bCs/>
          <w:lang w:val="es-AR" w:eastAsia="es-ES"/>
        </w:rPr>
        <w:t>un</w:t>
      </w:r>
      <w:r w:rsidRPr="00082231">
        <w:rPr>
          <w:rFonts w:ascii="Arial" w:hAnsi="Arial" w:cs="Arial"/>
          <w:bCs/>
          <w:lang w:val="es-AR" w:eastAsia="es-ES"/>
        </w:rPr>
        <w:t>as explotaciones minera</w:t>
      </w:r>
      <w:r>
        <w:rPr>
          <w:rFonts w:ascii="Arial" w:hAnsi="Arial" w:cs="Arial"/>
          <w:bCs/>
          <w:lang w:val="es-AR" w:eastAsia="es-ES"/>
        </w:rPr>
        <w:t>s en desuso</w:t>
      </w:r>
      <w:r w:rsidRPr="00082231">
        <w:rPr>
          <w:rFonts w:ascii="Arial" w:hAnsi="Arial" w:cs="Arial"/>
          <w:bCs/>
          <w:lang w:val="es-AR" w:eastAsia="es-ES"/>
        </w:rPr>
        <w:t>,</w:t>
      </w:r>
      <w:r>
        <w:rPr>
          <w:rFonts w:ascii="Arial" w:hAnsi="Arial" w:cs="Arial"/>
          <w:bCs/>
          <w:lang w:val="es-AR" w:eastAsia="es-ES"/>
        </w:rPr>
        <w:t xml:space="preserve"> la Administración</w:t>
      </w:r>
      <w:r w:rsidRPr="00082231">
        <w:rPr>
          <w:rFonts w:ascii="Arial" w:hAnsi="Arial" w:cs="Arial"/>
          <w:bCs/>
          <w:lang w:val="es-AR" w:eastAsia="es-ES"/>
        </w:rPr>
        <w:t xml:space="preserve"> no</w:t>
      </w:r>
      <w:r>
        <w:rPr>
          <w:rFonts w:ascii="Arial" w:hAnsi="Arial" w:cs="Arial"/>
          <w:bCs/>
          <w:lang w:val="es-AR" w:eastAsia="es-ES"/>
        </w:rPr>
        <w:t xml:space="preserve"> </w:t>
      </w:r>
      <w:r w:rsidRPr="00082231">
        <w:rPr>
          <w:rFonts w:ascii="Arial" w:hAnsi="Arial" w:cs="Arial"/>
          <w:bCs/>
          <w:lang w:val="es-AR" w:eastAsia="es-ES"/>
        </w:rPr>
        <w:t>considera que suponga un incumplimiento de la normativa y</w:t>
      </w:r>
      <w:r>
        <w:rPr>
          <w:rFonts w:ascii="Arial" w:hAnsi="Arial" w:cs="Arial"/>
          <w:bCs/>
          <w:lang w:val="es-AR" w:eastAsia="es-ES"/>
        </w:rPr>
        <w:t xml:space="preserve"> apuntó que</w:t>
      </w:r>
      <w:r w:rsidRPr="00082231">
        <w:rPr>
          <w:rFonts w:ascii="Arial" w:hAnsi="Arial" w:cs="Arial"/>
          <w:bCs/>
          <w:lang w:val="es-AR" w:eastAsia="es-ES"/>
        </w:rPr>
        <w:t xml:space="preserve"> el objetivo debe</w:t>
      </w:r>
      <w:r>
        <w:rPr>
          <w:rFonts w:ascii="Arial" w:hAnsi="Arial" w:cs="Arial"/>
          <w:bCs/>
          <w:lang w:val="es-AR" w:eastAsia="es-ES"/>
        </w:rPr>
        <w:t>ría</w:t>
      </w:r>
      <w:r w:rsidRPr="00082231">
        <w:rPr>
          <w:rFonts w:ascii="Arial" w:hAnsi="Arial" w:cs="Arial"/>
          <w:bCs/>
          <w:lang w:val="es-AR" w:eastAsia="es-ES"/>
        </w:rPr>
        <w:t xml:space="preserve"> abordarse coordinadamente con</w:t>
      </w:r>
      <w:r>
        <w:rPr>
          <w:rFonts w:ascii="Arial" w:hAnsi="Arial" w:cs="Arial"/>
          <w:bCs/>
          <w:lang w:val="es-AR" w:eastAsia="es-ES"/>
        </w:rPr>
        <w:t xml:space="preserve"> </w:t>
      </w:r>
      <w:r w:rsidRPr="00082231">
        <w:rPr>
          <w:rFonts w:ascii="Arial" w:hAnsi="Arial" w:cs="Arial"/>
          <w:bCs/>
          <w:lang w:val="es-AR" w:eastAsia="es-ES"/>
        </w:rPr>
        <w:t>la Confederación Hidrográfica del Cantábrico y la Dirección General de Minería y Energía del Principado de</w:t>
      </w:r>
      <w:r>
        <w:rPr>
          <w:rFonts w:ascii="Arial" w:hAnsi="Arial" w:cs="Arial"/>
          <w:bCs/>
          <w:lang w:val="es-AR" w:eastAsia="es-ES"/>
        </w:rPr>
        <w:t xml:space="preserve"> </w:t>
      </w:r>
      <w:r w:rsidRPr="00082231">
        <w:rPr>
          <w:rFonts w:ascii="Arial" w:hAnsi="Arial" w:cs="Arial"/>
          <w:bCs/>
          <w:lang w:val="es-AR" w:eastAsia="es-ES"/>
        </w:rPr>
        <w:t>Asturias</w:t>
      </w:r>
      <w:r>
        <w:rPr>
          <w:rFonts w:ascii="Arial" w:hAnsi="Arial" w:cs="Arial"/>
          <w:bCs/>
          <w:lang w:val="es-AR" w:eastAsia="es-ES"/>
        </w:rPr>
        <w:t xml:space="preserve">. En ese punto se da cuenta de </w:t>
      </w:r>
      <w:r w:rsidRPr="00082231">
        <w:rPr>
          <w:rFonts w:ascii="Arial" w:hAnsi="Arial" w:cs="Arial"/>
          <w:bCs/>
          <w:lang w:val="es-AR" w:eastAsia="es-ES"/>
        </w:rPr>
        <w:t>una reunión entre los referidos departamentos de la</w:t>
      </w:r>
      <w:r>
        <w:rPr>
          <w:rFonts w:ascii="Arial" w:hAnsi="Arial" w:cs="Arial"/>
          <w:bCs/>
          <w:lang w:val="es-AR" w:eastAsia="es-ES"/>
        </w:rPr>
        <w:t xml:space="preserve"> </w:t>
      </w:r>
      <w:r w:rsidRPr="00082231">
        <w:rPr>
          <w:rFonts w:ascii="Arial" w:hAnsi="Arial" w:cs="Arial"/>
          <w:bCs/>
          <w:lang w:val="es-AR" w:eastAsia="es-ES"/>
        </w:rPr>
        <w:t>Administración regional y el organismo público, explicando los planes que tienen previsto acometer</w:t>
      </w:r>
      <w:r>
        <w:rPr>
          <w:rFonts w:ascii="Arial" w:hAnsi="Arial" w:cs="Arial"/>
          <w:bCs/>
          <w:lang w:val="es-AR" w:eastAsia="es-ES"/>
        </w:rPr>
        <w:t>. Frente a ello la parte actora solicitó más información y ratificó la denuncia por inactividad.</w:t>
      </w:r>
    </w:p>
    <w:p w14:paraId="1FDB70B2" w14:textId="77777777" w:rsidR="009416F2" w:rsidRDefault="009416F2" w:rsidP="009416F2">
      <w:pPr>
        <w:rPr>
          <w:rFonts w:ascii="Arial" w:hAnsi="Arial" w:cs="Arial"/>
          <w:bCs/>
          <w:lang w:val="es-AR" w:eastAsia="es-ES"/>
        </w:rPr>
      </w:pPr>
      <w:r>
        <w:rPr>
          <w:rFonts w:ascii="Arial" w:hAnsi="Arial" w:cs="Arial"/>
          <w:bCs/>
          <w:lang w:val="es-AR" w:eastAsia="es-ES"/>
        </w:rPr>
        <w:t>En la demanda se considera a l</w:t>
      </w:r>
      <w:r w:rsidRPr="005F5860">
        <w:rPr>
          <w:rFonts w:ascii="Arial" w:hAnsi="Arial" w:cs="Arial"/>
          <w:bCs/>
          <w:lang w:val="es-AR" w:eastAsia="es-ES"/>
        </w:rPr>
        <w:t>a Administración autonómica responsable por inactividad del deterioro de una zona protegida</w:t>
      </w:r>
      <w:r>
        <w:rPr>
          <w:rFonts w:ascii="Arial" w:hAnsi="Arial" w:cs="Arial"/>
          <w:bCs/>
          <w:lang w:val="es-AR" w:eastAsia="es-ES"/>
        </w:rPr>
        <w:t xml:space="preserve"> </w:t>
      </w:r>
      <w:r w:rsidRPr="005F5860">
        <w:rPr>
          <w:rFonts w:ascii="Arial" w:hAnsi="Arial" w:cs="Arial"/>
          <w:bCs/>
          <w:lang w:val="es-AR" w:eastAsia="es-ES"/>
        </w:rPr>
        <w:t xml:space="preserve">y muy relevante para la conservación de la biodiversidad. </w:t>
      </w:r>
      <w:r>
        <w:rPr>
          <w:rFonts w:ascii="Arial" w:hAnsi="Arial" w:cs="Arial"/>
          <w:bCs/>
          <w:lang w:val="es-AR" w:eastAsia="es-ES"/>
        </w:rPr>
        <w:t>S</w:t>
      </w:r>
      <w:r w:rsidRPr="005F5860">
        <w:rPr>
          <w:rFonts w:ascii="Arial" w:hAnsi="Arial" w:cs="Arial"/>
          <w:bCs/>
          <w:lang w:val="es-AR" w:eastAsia="es-ES"/>
        </w:rPr>
        <w:t>e reclama la obligación de restaurar</w:t>
      </w:r>
      <w:r>
        <w:rPr>
          <w:rFonts w:ascii="Arial" w:hAnsi="Arial" w:cs="Arial"/>
          <w:bCs/>
          <w:lang w:val="es-AR" w:eastAsia="es-ES"/>
        </w:rPr>
        <w:t xml:space="preserve"> </w:t>
      </w:r>
      <w:r w:rsidRPr="005F5860">
        <w:rPr>
          <w:rFonts w:ascii="Arial" w:hAnsi="Arial" w:cs="Arial"/>
          <w:bCs/>
          <w:lang w:val="es-AR" w:eastAsia="es-ES"/>
        </w:rPr>
        <w:t>la zona afectada desde el punto de vista minero y desde el punto de vista ambiental</w:t>
      </w:r>
      <w:r>
        <w:rPr>
          <w:rFonts w:ascii="Arial" w:hAnsi="Arial" w:cs="Arial"/>
          <w:bCs/>
          <w:lang w:val="es-AR" w:eastAsia="es-ES"/>
        </w:rPr>
        <w:t xml:space="preserve"> y s</w:t>
      </w:r>
      <w:r w:rsidRPr="005F5860">
        <w:rPr>
          <w:rFonts w:ascii="Arial" w:hAnsi="Arial" w:cs="Arial"/>
          <w:bCs/>
          <w:lang w:val="es-AR" w:eastAsia="es-ES"/>
        </w:rPr>
        <w:t>e invoca, asimismo, el principio de buena administración que debe guiar el ejercicio de la</w:t>
      </w:r>
      <w:r>
        <w:rPr>
          <w:rFonts w:ascii="Arial" w:hAnsi="Arial" w:cs="Arial"/>
          <w:bCs/>
          <w:lang w:val="es-AR" w:eastAsia="es-ES"/>
        </w:rPr>
        <w:t xml:space="preserve"> </w:t>
      </w:r>
      <w:r w:rsidRPr="005F5860">
        <w:rPr>
          <w:rFonts w:ascii="Arial" w:hAnsi="Arial" w:cs="Arial"/>
          <w:bCs/>
          <w:lang w:val="es-AR" w:eastAsia="es-ES"/>
        </w:rPr>
        <w:t>discrecionalidad administrativa.</w:t>
      </w:r>
    </w:p>
    <w:p w14:paraId="407F2725" w14:textId="77777777" w:rsidR="009416F2" w:rsidRDefault="009416F2" w:rsidP="009416F2">
      <w:pPr>
        <w:rPr>
          <w:rFonts w:ascii="Arial" w:hAnsi="Arial" w:cs="Arial"/>
          <w:bCs/>
          <w:lang w:val="es-AR" w:eastAsia="es-ES"/>
        </w:rPr>
      </w:pPr>
      <w:r w:rsidRPr="005F5860">
        <w:rPr>
          <w:rFonts w:ascii="Arial" w:hAnsi="Arial" w:cs="Arial"/>
          <w:bCs/>
          <w:lang w:val="es-AR" w:eastAsia="es-ES"/>
        </w:rPr>
        <w:t>El letrado autonómico se opone a la demanda y sostiene que la obligación de restaurar parcialmente</w:t>
      </w:r>
      <w:r>
        <w:rPr>
          <w:rFonts w:ascii="Arial" w:hAnsi="Arial" w:cs="Arial"/>
          <w:bCs/>
          <w:lang w:val="es-AR" w:eastAsia="es-ES"/>
        </w:rPr>
        <w:t xml:space="preserve"> la zona corresponde </w:t>
      </w:r>
      <w:r w:rsidRPr="005F5860">
        <w:rPr>
          <w:rFonts w:ascii="Arial" w:hAnsi="Arial" w:cs="Arial"/>
          <w:bCs/>
          <w:lang w:val="es-AR" w:eastAsia="es-ES"/>
        </w:rPr>
        <w:t xml:space="preserve">a la Confederación Hidrográfica del Cantábrico. </w:t>
      </w:r>
      <w:r>
        <w:rPr>
          <w:rFonts w:ascii="Arial" w:hAnsi="Arial" w:cs="Arial"/>
          <w:bCs/>
          <w:lang w:val="es-AR" w:eastAsia="es-ES"/>
        </w:rPr>
        <w:t xml:space="preserve">Afirma que </w:t>
      </w:r>
      <w:r w:rsidRPr="005F5860">
        <w:rPr>
          <w:rFonts w:ascii="Arial" w:hAnsi="Arial" w:cs="Arial"/>
          <w:bCs/>
          <w:lang w:val="es-AR" w:eastAsia="es-ES"/>
        </w:rPr>
        <w:t>la ZEC-ZEPA está en buen estado de conservación</w:t>
      </w:r>
      <w:r>
        <w:rPr>
          <w:rFonts w:ascii="Arial" w:hAnsi="Arial" w:cs="Arial"/>
          <w:bCs/>
          <w:lang w:val="es-AR" w:eastAsia="es-ES"/>
        </w:rPr>
        <w:t xml:space="preserve"> según acreditan informes para distintos proyectos en el entorno. Alega además </w:t>
      </w:r>
      <w:r w:rsidRPr="005F5860">
        <w:rPr>
          <w:rFonts w:ascii="Arial" w:hAnsi="Arial" w:cs="Arial"/>
          <w:bCs/>
          <w:lang w:val="es-AR" w:eastAsia="es-ES"/>
        </w:rPr>
        <w:lastRenderedPageBreak/>
        <w:t>la</w:t>
      </w:r>
      <w:r>
        <w:rPr>
          <w:rFonts w:ascii="Arial" w:hAnsi="Arial" w:cs="Arial"/>
          <w:bCs/>
          <w:lang w:val="es-AR" w:eastAsia="es-ES"/>
        </w:rPr>
        <w:t xml:space="preserve"> </w:t>
      </w:r>
      <w:r w:rsidRPr="005F5860">
        <w:rPr>
          <w:rFonts w:ascii="Arial" w:hAnsi="Arial" w:cs="Arial"/>
          <w:bCs/>
          <w:lang w:val="es-AR" w:eastAsia="es-ES"/>
        </w:rPr>
        <w:t xml:space="preserve">falta de legitimación específica del artículo 29.1 LJCA en materia de inactividad prestacional y </w:t>
      </w:r>
      <w:r>
        <w:rPr>
          <w:rFonts w:ascii="Arial" w:hAnsi="Arial" w:cs="Arial"/>
          <w:bCs/>
          <w:lang w:val="es-AR" w:eastAsia="es-ES"/>
        </w:rPr>
        <w:t xml:space="preserve">ausencia de </w:t>
      </w:r>
      <w:r w:rsidRPr="005F5860">
        <w:rPr>
          <w:rFonts w:ascii="Arial" w:hAnsi="Arial" w:cs="Arial"/>
          <w:bCs/>
          <w:lang w:val="es-AR" w:eastAsia="es-ES"/>
        </w:rPr>
        <w:t>los restantes</w:t>
      </w:r>
      <w:r>
        <w:rPr>
          <w:rFonts w:ascii="Arial" w:hAnsi="Arial" w:cs="Arial"/>
          <w:bCs/>
          <w:lang w:val="es-AR" w:eastAsia="es-ES"/>
        </w:rPr>
        <w:t xml:space="preserve"> </w:t>
      </w:r>
      <w:r w:rsidRPr="005F5860">
        <w:rPr>
          <w:rFonts w:ascii="Arial" w:hAnsi="Arial" w:cs="Arial"/>
          <w:bCs/>
          <w:lang w:val="es-AR" w:eastAsia="es-ES"/>
        </w:rPr>
        <w:t>presupuestos del procedimiento por inactividad prestacional. El Principado de Asturias</w:t>
      </w:r>
      <w:r>
        <w:rPr>
          <w:rFonts w:ascii="Arial" w:hAnsi="Arial" w:cs="Arial"/>
          <w:bCs/>
          <w:lang w:val="es-AR" w:eastAsia="es-ES"/>
        </w:rPr>
        <w:t>, afirma,</w:t>
      </w:r>
      <w:r w:rsidRPr="005F5860">
        <w:rPr>
          <w:rFonts w:ascii="Arial" w:hAnsi="Arial" w:cs="Arial"/>
          <w:bCs/>
          <w:lang w:val="es-AR" w:eastAsia="es-ES"/>
        </w:rPr>
        <w:t xml:space="preserve"> no está obligado a</w:t>
      </w:r>
      <w:r>
        <w:rPr>
          <w:rFonts w:ascii="Arial" w:hAnsi="Arial" w:cs="Arial"/>
          <w:bCs/>
          <w:lang w:val="es-AR" w:eastAsia="es-ES"/>
        </w:rPr>
        <w:t xml:space="preserve"> </w:t>
      </w:r>
      <w:r w:rsidRPr="005F5860">
        <w:rPr>
          <w:rFonts w:ascii="Arial" w:hAnsi="Arial" w:cs="Arial"/>
          <w:bCs/>
          <w:lang w:val="es-AR" w:eastAsia="es-ES"/>
        </w:rPr>
        <w:t>realizar prestación alguna en favor de la Sociedad Española de Ornitología</w:t>
      </w:r>
      <w:r>
        <w:rPr>
          <w:rFonts w:ascii="Arial" w:hAnsi="Arial" w:cs="Arial"/>
          <w:bCs/>
          <w:lang w:val="es-AR" w:eastAsia="es-ES"/>
        </w:rPr>
        <w:t xml:space="preserve">, que además </w:t>
      </w:r>
      <w:r w:rsidRPr="005F5860">
        <w:rPr>
          <w:rFonts w:ascii="Arial" w:hAnsi="Arial" w:cs="Arial"/>
          <w:bCs/>
          <w:lang w:val="es-AR" w:eastAsia="es-ES"/>
        </w:rPr>
        <w:t>plantea como</w:t>
      </w:r>
      <w:r>
        <w:rPr>
          <w:rFonts w:ascii="Arial" w:hAnsi="Arial" w:cs="Arial"/>
          <w:bCs/>
          <w:lang w:val="es-AR" w:eastAsia="es-ES"/>
        </w:rPr>
        <w:t xml:space="preserve"> </w:t>
      </w:r>
      <w:r w:rsidRPr="005F5860">
        <w:rPr>
          <w:rFonts w:ascii="Arial" w:hAnsi="Arial" w:cs="Arial"/>
          <w:bCs/>
          <w:lang w:val="es-AR" w:eastAsia="es-ES"/>
        </w:rPr>
        <w:t>pretensión una prestación genérica, inconcreta e indeterminada, tanto en el espacio como en el tiempo y en el</w:t>
      </w:r>
      <w:r>
        <w:rPr>
          <w:rFonts w:ascii="Arial" w:hAnsi="Arial" w:cs="Arial"/>
          <w:bCs/>
          <w:lang w:val="es-AR" w:eastAsia="es-ES"/>
        </w:rPr>
        <w:t xml:space="preserve"> </w:t>
      </w:r>
      <w:r w:rsidRPr="005F5860">
        <w:rPr>
          <w:rFonts w:ascii="Arial" w:hAnsi="Arial" w:cs="Arial"/>
          <w:bCs/>
          <w:lang w:val="es-AR" w:eastAsia="es-ES"/>
        </w:rPr>
        <w:t>modo.</w:t>
      </w:r>
    </w:p>
    <w:p w14:paraId="0E4A5B3E" w14:textId="0DA85750" w:rsidR="00705CA6" w:rsidRPr="009416F2" w:rsidRDefault="009416F2" w:rsidP="00705CA6">
      <w:pPr>
        <w:rPr>
          <w:rFonts w:ascii="Arial" w:hAnsi="Arial" w:cs="Arial"/>
          <w:bCs/>
          <w:lang w:val="es-AR" w:eastAsia="ja-JP"/>
        </w:rPr>
      </w:pPr>
      <w:r>
        <w:rPr>
          <w:rFonts w:ascii="Arial" w:hAnsi="Arial" w:cs="Arial"/>
          <w:bCs/>
          <w:lang w:val="es-AR" w:eastAsia="es-ES"/>
        </w:rPr>
        <w:t>Es este el argumento que acaba acogiendo el TSJA, afirmando (Fundamento de Derecho sexto) que</w:t>
      </w:r>
    </w:p>
    <w:p w14:paraId="559AFF23" w14:textId="11FBB26C" w:rsidR="00705CA6" w:rsidRDefault="00705CA6" w:rsidP="00910DEC">
      <w:pPr>
        <w:pStyle w:val="Cita"/>
        <w:rPr>
          <w:rFonts w:ascii="Arial" w:hAnsi="Arial"/>
          <w:lang w:val="es-ES_tradnl"/>
        </w:rPr>
      </w:pPr>
      <w:sdt>
        <w:sdtPr>
          <w:rPr>
            <w:rFonts w:ascii="Arial" w:hAnsi="Arial"/>
            <w:lang w:val="fr-FR"/>
          </w:rPr>
          <w:id w:val="1567063432"/>
          <w:placeholder>
            <w:docPart w:val="4329175630D34A75AD804C3E80F396A8"/>
          </w:placeholder>
        </w:sdtPr>
        <w:sdtContent>
          <w:r w:rsidR="00910DEC" w:rsidRPr="00A839C1">
            <w:rPr>
              <w:rFonts w:ascii="Arial" w:hAnsi="Arial" w:cs="Arial"/>
              <w:bCs/>
              <w:lang w:val="es-AR" w:eastAsia="es-ES"/>
            </w:rPr>
            <w:t>aun cuando la demandante hace un importante despliegue de la normativa aplicable, también</w:t>
          </w:r>
          <w:r w:rsidR="00910DEC">
            <w:rPr>
              <w:rFonts w:ascii="Arial" w:hAnsi="Arial" w:cs="Arial"/>
              <w:bCs/>
              <w:lang w:val="es-AR" w:eastAsia="es-ES"/>
            </w:rPr>
            <w:t xml:space="preserve"> </w:t>
          </w:r>
          <w:r w:rsidR="00910DEC" w:rsidRPr="00A839C1">
            <w:rPr>
              <w:rFonts w:ascii="Arial" w:hAnsi="Arial" w:cs="Arial"/>
              <w:bCs/>
              <w:lang w:val="es-AR" w:eastAsia="es-ES"/>
            </w:rPr>
            <w:t>reconoce la complejidad de la actuación administrativa que si bien "debe plasmarse en la adopción y puesta</w:t>
          </w:r>
          <w:r w:rsidR="00910DEC">
            <w:rPr>
              <w:rFonts w:ascii="Arial" w:hAnsi="Arial" w:cs="Arial"/>
              <w:bCs/>
              <w:lang w:val="es-AR" w:eastAsia="es-ES"/>
            </w:rPr>
            <w:t xml:space="preserve"> </w:t>
          </w:r>
          <w:r w:rsidR="00910DEC" w:rsidRPr="00A839C1">
            <w:rPr>
              <w:rFonts w:ascii="Arial" w:hAnsi="Arial" w:cs="Arial"/>
              <w:bCs/>
              <w:lang w:val="es-AR" w:eastAsia="es-ES"/>
            </w:rPr>
            <w:t>en marcha de proyectos concretos de restauración" no se refiere y no exige ninguno concreto que permita</w:t>
          </w:r>
          <w:r w:rsidR="00910DEC">
            <w:rPr>
              <w:rFonts w:ascii="Arial" w:hAnsi="Arial" w:cs="Arial"/>
              <w:bCs/>
              <w:lang w:val="es-AR" w:eastAsia="es-ES"/>
            </w:rPr>
            <w:t xml:space="preserve"> </w:t>
          </w:r>
          <w:r w:rsidR="00910DEC" w:rsidRPr="00A839C1">
            <w:rPr>
              <w:rFonts w:ascii="Arial" w:hAnsi="Arial" w:cs="Arial"/>
              <w:bCs/>
              <w:lang w:val="es-AR" w:eastAsia="es-ES"/>
            </w:rPr>
            <w:t>considerar apropiada la vía procedimental elegida ante la Administración y ahora ante este tribunal.</w:t>
          </w:r>
          <w:r w:rsidR="00910DEC">
            <w:rPr>
              <w:rFonts w:ascii="Arial" w:hAnsi="Arial" w:cs="Arial"/>
              <w:bCs/>
              <w:lang w:val="es-AR" w:eastAsia="es-ES"/>
            </w:rPr>
            <w:t xml:space="preserve"> </w:t>
          </w:r>
          <w:r w:rsidR="00910DEC" w:rsidRPr="00A839C1">
            <w:rPr>
              <w:rFonts w:ascii="Arial" w:hAnsi="Arial" w:cs="Arial"/>
              <w:bCs/>
              <w:lang w:val="es-AR" w:eastAsia="es-ES"/>
            </w:rPr>
            <w:t>En suma y al no concurrir uno de los presupuestos para aplicar el procedimiento de control previsto en el</w:t>
          </w:r>
          <w:r w:rsidR="00910DEC">
            <w:rPr>
              <w:rFonts w:ascii="Arial" w:hAnsi="Arial" w:cs="Arial"/>
              <w:bCs/>
              <w:lang w:val="es-AR" w:eastAsia="es-ES"/>
            </w:rPr>
            <w:t xml:space="preserve"> </w:t>
          </w:r>
          <w:r w:rsidR="00910DEC" w:rsidRPr="00A839C1">
            <w:rPr>
              <w:rFonts w:ascii="Arial" w:hAnsi="Arial" w:cs="Arial"/>
              <w:bCs/>
              <w:lang w:val="es-AR" w:eastAsia="es-ES"/>
            </w:rPr>
            <w:t>artículo 29.1 de la Ley de la Jurisdicción Contencioso-administrativa en relación con el artículo 69.c) de la</w:t>
          </w:r>
          <w:r w:rsidR="00910DEC">
            <w:rPr>
              <w:rFonts w:ascii="Arial" w:hAnsi="Arial" w:cs="Arial"/>
              <w:bCs/>
              <w:lang w:val="es-AR" w:eastAsia="es-ES"/>
            </w:rPr>
            <w:t xml:space="preserve"> </w:t>
          </w:r>
          <w:r w:rsidR="00910DEC" w:rsidRPr="00A839C1">
            <w:rPr>
              <w:rFonts w:ascii="Arial" w:hAnsi="Arial" w:cs="Arial"/>
              <w:bCs/>
              <w:lang w:val="es-AR" w:eastAsia="es-ES"/>
            </w:rPr>
            <w:t>misma Ley jurisdicción, y sin necesidad de examinar las demás causas de inadmisibilidad ni enjuiciar el fondo</w:t>
          </w:r>
          <w:r w:rsidR="00910DEC">
            <w:rPr>
              <w:rFonts w:ascii="Arial" w:hAnsi="Arial" w:cs="Arial"/>
              <w:bCs/>
              <w:lang w:val="es-AR" w:eastAsia="es-ES"/>
            </w:rPr>
            <w:t xml:space="preserve"> </w:t>
          </w:r>
          <w:r w:rsidR="00910DEC" w:rsidRPr="00A839C1">
            <w:rPr>
              <w:rFonts w:ascii="Arial" w:hAnsi="Arial" w:cs="Arial"/>
              <w:bCs/>
              <w:lang w:val="es-AR" w:eastAsia="es-ES"/>
            </w:rPr>
            <w:t>del asunto, debe inadmitirse el recurso contencioso-administrativo</w:t>
          </w:r>
          <w:r w:rsidR="00910DEC">
            <w:rPr>
              <w:rFonts w:ascii="Arial" w:hAnsi="Arial" w:cs="Arial"/>
              <w:bCs/>
              <w:lang w:val="es-AR" w:eastAsia="es-ES"/>
            </w:rPr>
            <w:t>.</w:t>
          </w:r>
        </w:sdtContent>
      </w:sdt>
    </w:p>
    <w:p w14:paraId="4D515BD4" w14:textId="0EB9D2EB" w:rsidR="00951ADA" w:rsidRPr="00951ADA" w:rsidRDefault="00951ADA" w:rsidP="00705CA6">
      <w:pPr>
        <w:rPr>
          <w:rFonts w:ascii="Arial" w:hAnsi="Arial" w:cs="Arial"/>
          <w:b/>
          <w:bCs/>
          <w:lang w:val="es-ES_tradnl" w:eastAsia="ja-JP"/>
        </w:rPr>
      </w:pPr>
      <w:r>
        <w:rPr>
          <w:rFonts w:ascii="Arial" w:hAnsi="Arial" w:cs="Arial"/>
          <w:b/>
          <w:bCs/>
          <w:lang w:val="es-ES_tradnl" w:eastAsia="ja-JP"/>
        </w:rPr>
        <w:t>4. C</w:t>
      </w:r>
      <w:r>
        <w:rPr>
          <w:rFonts w:ascii="Arial" w:hAnsi="Arial" w:cs="Arial"/>
          <w:b/>
          <w:lang w:val="es-AR" w:eastAsia="es-ES"/>
        </w:rPr>
        <w:t>ONCESIONES HIDROELÉCTRICAS, OBRAS Y CAUDALES ECOLÓGICOS: LA IMPORTANCIA DE LOS TIEMPOS</w:t>
      </w:r>
    </w:p>
    <w:p w14:paraId="2D3D0F9B" w14:textId="3CFAED5D" w:rsidR="005733EE" w:rsidRDefault="005733EE" w:rsidP="005733EE">
      <w:pPr>
        <w:rPr>
          <w:rFonts w:ascii="Arial" w:hAnsi="Arial" w:cs="Arial"/>
          <w:bCs/>
          <w:lang w:val="es-AR" w:eastAsia="es-ES"/>
        </w:rPr>
      </w:pPr>
      <w:r>
        <w:rPr>
          <w:rFonts w:ascii="Arial" w:hAnsi="Arial" w:cs="Arial"/>
          <w:bCs/>
          <w:lang w:val="es-AR" w:eastAsia="es-ES"/>
        </w:rPr>
        <w:t xml:space="preserve">La sentencia que ahora se comenta tiene como protagonista la concesión administrativa para una central de producción eléctrica, la de Miranda, que </w:t>
      </w:r>
      <w:r w:rsidRPr="00C238D1">
        <w:rPr>
          <w:rFonts w:ascii="Arial" w:hAnsi="Arial" w:cs="Arial"/>
          <w:bCs/>
          <w:lang w:val="es-AR" w:eastAsia="es-ES"/>
        </w:rPr>
        <w:t xml:space="preserve">aprovecha las aguas canalizadas de los ríos Somiedo y </w:t>
      </w:r>
      <w:proofErr w:type="spellStart"/>
      <w:r w:rsidRPr="00C238D1">
        <w:rPr>
          <w:rFonts w:ascii="Arial" w:hAnsi="Arial" w:cs="Arial"/>
          <w:bCs/>
          <w:lang w:val="es-AR" w:eastAsia="es-ES"/>
        </w:rPr>
        <w:t>Pigüeña</w:t>
      </w:r>
      <w:proofErr w:type="spellEnd"/>
      <w:r>
        <w:rPr>
          <w:rFonts w:ascii="Arial" w:hAnsi="Arial" w:cs="Arial"/>
          <w:bCs/>
          <w:lang w:val="es-AR" w:eastAsia="es-ES"/>
        </w:rPr>
        <w:t>, y de otros arroyos en los términos de Somiedo y Belmonte de Miranda</w:t>
      </w:r>
      <w:r w:rsidRPr="00C238D1">
        <w:rPr>
          <w:rFonts w:ascii="Arial" w:hAnsi="Arial" w:cs="Arial"/>
          <w:bCs/>
          <w:lang w:val="es-AR" w:eastAsia="es-ES"/>
        </w:rPr>
        <w:t xml:space="preserve">. </w:t>
      </w:r>
      <w:r>
        <w:rPr>
          <w:rFonts w:ascii="Arial" w:hAnsi="Arial" w:cs="Arial"/>
          <w:bCs/>
          <w:lang w:val="es-AR" w:eastAsia="es-ES"/>
        </w:rPr>
        <w:t xml:space="preserve">Se trata de una gran obra del </w:t>
      </w:r>
      <w:r w:rsidRPr="00C238D1">
        <w:rPr>
          <w:rFonts w:ascii="Arial" w:hAnsi="Arial" w:cs="Arial"/>
          <w:bCs/>
          <w:lang w:val="es-AR" w:eastAsia="es-ES"/>
        </w:rPr>
        <w:t>patrimonio industrial diseñada por el reconocido arquitecto Joaquín Vaquero Palacios</w:t>
      </w:r>
      <w:r>
        <w:rPr>
          <w:rFonts w:ascii="Arial" w:hAnsi="Arial" w:cs="Arial"/>
          <w:bCs/>
          <w:lang w:val="es-AR" w:eastAsia="es-ES"/>
        </w:rPr>
        <w:t xml:space="preserve"> y c</w:t>
      </w:r>
      <w:r w:rsidRPr="00C238D1">
        <w:rPr>
          <w:rFonts w:ascii="Arial" w:hAnsi="Arial" w:cs="Arial"/>
          <w:bCs/>
          <w:lang w:val="es-AR" w:eastAsia="es-ES"/>
        </w:rPr>
        <w:t>onstruida por Hidroeléctrica del Cantábrico</w:t>
      </w:r>
      <w:r>
        <w:rPr>
          <w:rFonts w:ascii="Arial" w:hAnsi="Arial" w:cs="Arial"/>
          <w:bCs/>
          <w:lang w:val="es-AR" w:eastAsia="es-ES"/>
        </w:rPr>
        <w:t xml:space="preserve"> (hoy EDP)</w:t>
      </w:r>
      <w:r w:rsidRPr="00C238D1">
        <w:rPr>
          <w:rFonts w:ascii="Arial" w:hAnsi="Arial" w:cs="Arial"/>
          <w:bCs/>
          <w:lang w:val="es-AR" w:eastAsia="es-ES"/>
        </w:rPr>
        <w:t xml:space="preserve"> entre 1956 y 1962, </w:t>
      </w:r>
      <w:r>
        <w:rPr>
          <w:rFonts w:ascii="Arial" w:hAnsi="Arial" w:cs="Arial"/>
          <w:bCs/>
          <w:lang w:val="es-AR" w:eastAsia="es-ES"/>
        </w:rPr>
        <w:t xml:space="preserve">que </w:t>
      </w:r>
      <w:r w:rsidRPr="00C238D1">
        <w:rPr>
          <w:rFonts w:ascii="Arial" w:hAnsi="Arial" w:cs="Arial"/>
          <w:bCs/>
          <w:lang w:val="es-AR" w:eastAsia="es-ES"/>
        </w:rPr>
        <w:t>se sitúa al pie de una ladera de fuerte pendiente</w:t>
      </w:r>
      <w:r>
        <w:rPr>
          <w:rFonts w:ascii="Arial" w:hAnsi="Arial" w:cs="Arial"/>
          <w:bCs/>
          <w:lang w:val="es-AR" w:eastAsia="es-ES"/>
        </w:rPr>
        <w:t xml:space="preserve"> y</w:t>
      </w:r>
      <w:r w:rsidRPr="00C238D1">
        <w:rPr>
          <w:rFonts w:ascii="Arial" w:hAnsi="Arial" w:cs="Arial"/>
          <w:bCs/>
          <w:lang w:val="es-AR" w:eastAsia="es-ES"/>
        </w:rPr>
        <w:t xml:space="preserve"> </w:t>
      </w:r>
      <w:r>
        <w:rPr>
          <w:rFonts w:ascii="Arial" w:hAnsi="Arial" w:cs="Arial"/>
          <w:bCs/>
          <w:lang w:val="es-AR" w:eastAsia="es-ES"/>
        </w:rPr>
        <w:t>está e</w:t>
      </w:r>
      <w:r w:rsidRPr="00C238D1">
        <w:rPr>
          <w:rFonts w:ascii="Arial" w:hAnsi="Arial" w:cs="Arial"/>
          <w:bCs/>
          <w:lang w:val="es-AR" w:eastAsia="es-ES"/>
        </w:rPr>
        <w:t>xcavada en roca viva</w:t>
      </w:r>
      <w:r>
        <w:rPr>
          <w:rFonts w:ascii="Arial" w:hAnsi="Arial" w:cs="Arial"/>
          <w:bCs/>
          <w:lang w:val="es-AR" w:eastAsia="es-ES"/>
        </w:rPr>
        <w:t xml:space="preserve">. </w:t>
      </w:r>
    </w:p>
    <w:p w14:paraId="1A8C782A" w14:textId="77777777" w:rsidR="005733EE" w:rsidRDefault="005733EE" w:rsidP="005733EE">
      <w:pPr>
        <w:rPr>
          <w:rFonts w:ascii="Arial" w:hAnsi="Arial" w:cs="Arial"/>
          <w:bCs/>
          <w:lang w:val="es-AR" w:eastAsia="es-ES"/>
        </w:rPr>
      </w:pPr>
      <w:r>
        <w:rPr>
          <w:rFonts w:ascii="Arial" w:hAnsi="Arial" w:cs="Arial"/>
          <w:bCs/>
          <w:lang w:val="es-AR" w:eastAsia="es-ES"/>
        </w:rPr>
        <w:t xml:space="preserve">La concesión </w:t>
      </w:r>
      <w:r w:rsidRPr="00C238D1">
        <w:rPr>
          <w:rFonts w:ascii="Arial" w:hAnsi="Arial" w:cs="Arial"/>
          <w:bCs/>
          <w:lang w:val="es-AR" w:eastAsia="es-ES"/>
        </w:rPr>
        <w:t>se otorgó por Orden del Ministerio de Obras Públicas de 23 de mayo de 1957</w:t>
      </w:r>
      <w:r>
        <w:rPr>
          <w:rFonts w:ascii="Arial" w:hAnsi="Arial" w:cs="Arial"/>
          <w:bCs/>
          <w:lang w:val="es-AR" w:eastAsia="es-ES"/>
        </w:rPr>
        <w:t xml:space="preserve">. </w:t>
      </w:r>
      <w:r w:rsidRPr="00C238D1">
        <w:rPr>
          <w:rFonts w:ascii="Arial" w:hAnsi="Arial" w:cs="Arial"/>
          <w:bCs/>
          <w:lang w:val="es-AR" w:eastAsia="es-ES"/>
        </w:rPr>
        <w:t xml:space="preserve">En 1962 se levantó Acta de reconocimiento final de las obras, </w:t>
      </w:r>
      <w:r w:rsidRPr="00C238D1">
        <w:rPr>
          <w:rFonts w:ascii="Arial" w:hAnsi="Arial" w:cs="Arial"/>
          <w:bCs/>
          <w:lang w:val="es-AR" w:eastAsia="es-ES"/>
        </w:rPr>
        <w:lastRenderedPageBreak/>
        <w:t>que n</w:t>
      </w:r>
      <w:r>
        <w:rPr>
          <w:rFonts w:ascii="Arial" w:hAnsi="Arial" w:cs="Arial"/>
          <w:bCs/>
          <w:lang w:val="es-AR" w:eastAsia="es-ES"/>
        </w:rPr>
        <w:t xml:space="preserve">unca </w:t>
      </w:r>
      <w:r w:rsidRPr="00C238D1">
        <w:rPr>
          <w:rFonts w:ascii="Arial" w:hAnsi="Arial" w:cs="Arial"/>
          <w:bCs/>
          <w:lang w:val="es-AR" w:eastAsia="es-ES"/>
        </w:rPr>
        <w:t>llegó a aprobarse dado que las obras de construcción introdujeron modificaciones respecto a las condiciones</w:t>
      </w:r>
      <w:r>
        <w:rPr>
          <w:rFonts w:ascii="Arial" w:hAnsi="Arial" w:cs="Arial"/>
          <w:bCs/>
          <w:lang w:val="es-AR" w:eastAsia="es-ES"/>
        </w:rPr>
        <w:t xml:space="preserve"> </w:t>
      </w:r>
      <w:r w:rsidRPr="00C238D1">
        <w:rPr>
          <w:rFonts w:ascii="Arial" w:hAnsi="Arial" w:cs="Arial"/>
          <w:bCs/>
          <w:lang w:val="es-AR" w:eastAsia="es-ES"/>
        </w:rPr>
        <w:t xml:space="preserve">de la concesión de 1957 que implicaban una alteración del caudal concedido y </w:t>
      </w:r>
      <w:r>
        <w:rPr>
          <w:rFonts w:ascii="Arial" w:hAnsi="Arial" w:cs="Arial"/>
          <w:bCs/>
          <w:lang w:val="es-AR" w:eastAsia="es-ES"/>
        </w:rPr>
        <w:t xml:space="preserve">de </w:t>
      </w:r>
      <w:r w:rsidRPr="00C238D1">
        <w:rPr>
          <w:rFonts w:ascii="Arial" w:hAnsi="Arial" w:cs="Arial"/>
          <w:bCs/>
          <w:lang w:val="es-AR" w:eastAsia="es-ES"/>
        </w:rPr>
        <w:t>los tramos ocupados de los</w:t>
      </w:r>
      <w:r>
        <w:rPr>
          <w:rFonts w:ascii="Arial" w:hAnsi="Arial" w:cs="Arial"/>
          <w:bCs/>
          <w:lang w:val="es-AR" w:eastAsia="es-ES"/>
        </w:rPr>
        <w:t xml:space="preserve"> </w:t>
      </w:r>
      <w:r w:rsidRPr="00C238D1">
        <w:rPr>
          <w:rFonts w:ascii="Arial" w:hAnsi="Arial" w:cs="Arial"/>
          <w:bCs/>
          <w:lang w:val="es-AR" w:eastAsia="es-ES"/>
        </w:rPr>
        <w:t>ríos</w:t>
      </w:r>
      <w:r>
        <w:rPr>
          <w:rFonts w:ascii="Arial" w:hAnsi="Arial" w:cs="Arial"/>
          <w:bCs/>
          <w:lang w:val="es-AR" w:eastAsia="es-ES"/>
        </w:rPr>
        <w:t>. No sería hasta</w:t>
      </w:r>
      <w:r w:rsidRPr="00C238D1">
        <w:rPr>
          <w:rFonts w:ascii="Arial" w:hAnsi="Arial" w:cs="Arial"/>
          <w:bCs/>
          <w:lang w:val="es-AR" w:eastAsia="es-ES"/>
        </w:rPr>
        <w:t xml:space="preserve"> 1999</w:t>
      </w:r>
      <w:r>
        <w:rPr>
          <w:rFonts w:ascii="Arial" w:hAnsi="Arial" w:cs="Arial"/>
          <w:bCs/>
          <w:lang w:val="es-AR" w:eastAsia="es-ES"/>
        </w:rPr>
        <w:t xml:space="preserve"> cuando</w:t>
      </w:r>
      <w:r w:rsidRPr="00C238D1">
        <w:rPr>
          <w:rFonts w:ascii="Arial" w:hAnsi="Arial" w:cs="Arial"/>
          <w:bCs/>
          <w:lang w:val="es-AR" w:eastAsia="es-ES"/>
        </w:rPr>
        <w:t xml:space="preserve"> </w:t>
      </w:r>
      <w:r>
        <w:rPr>
          <w:rFonts w:ascii="Arial" w:hAnsi="Arial" w:cs="Arial"/>
          <w:bCs/>
          <w:lang w:val="es-AR" w:eastAsia="es-ES"/>
        </w:rPr>
        <w:t>se presentó ante la</w:t>
      </w:r>
      <w:r w:rsidRPr="00C238D1">
        <w:rPr>
          <w:rFonts w:ascii="Arial" w:hAnsi="Arial" w:cs="Arial"/>
          <w:bCs/>
          <w:lang w:val="es-AR" w:eastAsia="es-ES"/>
        </w:rPr>
        <w:t xml:space="preserve"> Confederación Hidrográfica solicitud de autorización</w:t>
      </w:r>
      <w:r>
        <w:rPr>
          <w:rFonts w:ascii="Arial" w:hAnsi="Arial" w:cs="Arial"/>
          <w:bCs/>
          <w:lang w:val="es-AR" w:eastAsia="es-ES"/>
        </w:rPr>
        <w:t xml:space="preserve"> </w:t>
      </w:r>
      <w:r w:rsidRPr="00C238D1">
        <w:rPr>
          <w:rFonts w:ascii="Arial" w:hAnsi="Arial" w:cs="Arial"/>
          <w:bCs/>
          <w:lang w:val="es-AR" w:eastAsia="es-ES"/>
        </w:rPr>
        <w:t>de cambio de características de la concesión original con el objeto de recoger la realidad del proyecto ejecutado</w:t>
      </w:r>
      <w:r>
        <w:rPr>
          <w:rFonts w:ascii="Arial" w:hAnsi="Arial" w:cs="Arial"/>
          <w:bCs/>
          <w:lang w:val="es-AR" w:eastAsia="es-ES"/>
        </w:rPr>
        <w:t xml:space="preserve"> </w:t>
      </w:r>
      <w:r w:rsidRPr="00C238D1">
        <w:rPr>
          <w:rFonts w:ascii="Arial" w:hAnsi="Arial" w:cs="Arial"/>
          <w:bCs/>
          <w:lang w:val="es-AR" w:eastAsia="es-ES"/>
        </w:rPr>
        <w:t xml:space="preserve">y en explotación desde su puesta en marcha, así como de ejecutar </w:t>
      </w:r>
      <w:r>
        <w:rPr>
          <w:rFonts w:ascii="Arial" w:hAnsi="Arial" w:cs="Arial"/>
          <w:bCs/>
          <w:lang w:val="es-AR" w:eastAsia="es-ES"/>
        </w:rPr>
        <w:t>un</w:t>
      </w:r>
      <w:r w:rsidRPr="00C238D1">
        <w:rPr>
          <w:rFonts w:ascii="Arial" w:hAnsi="Arial" w:cs="Arial"/>
          <w:bCs/>
          <w:lang w:val="es-AR" w:eastAsia="es-ES"/>
        </w:rPr>
        <w:t xml:space="preserve"> depósito </w:t>
      </w:r>
      <w:r>
        <w:rPr>
          <w:rFonts w:ascii="Arial" w:hAnsi="Arial" w:cs="Arial"/>
          <w:bCs/>
          <w:lang w:val="es-AR" w:eastAsia="es-ES"/>
        </w:rPr>
        <w:t xml:space="preserve">(embalse) </w:t>
      </w:r>
      <w:r w:rsidRPr="00C238D1">
        <w:rPr>
          <w:rFonts w:ascii="Arial" w:hAnsi="Arial" w:cs="Arial"/>
          <w:bCs/>
          <w:lang w:val="es-AR" w:eastAsia="es-ES"/>
        </w:rPr>
        <w:t>pendiente</w:t>
      </w:r>
      <w:r>
        <w:rPr>
          <w:rFonts w:ascii="Arial" w:hAnsi="Arial" w:cs="Arial"/>
          <w:bCs/>
          <w:lang w:val="es-AR" w:eastAsia="es-ES"/>
        </w:rPr>
        <w:t xml:space="preserve">. En el año 2000 se emitió </w:t>
      </w:r>
      <w:r w:rsidRPr="00C238D1">
        <w:rPr>
          <w:rFonts w:ascii="Arial" w:hAnsi="Arial" w:cs="Arial"/>
          <w:bCs/>
          <w:lang w:val="es-AR" w:eastAsia="es-ES"/>
        </w:rPr>
        <w:t xml:space="preserve">informe favorable sobre la solicitud de modificación de las características de la </w:t>
      </w:r>
      <w:r>
        <w:rPr>
          <w:rFonts w:ascii="Arial" w:hAnsi="Arial" w:cs="Arial"/>
          <w:bCs/>
          <w:lang w:val="es-AR" w:eastAsia="es-ES"/>
        </w:rPr>
        <w:t>c</w:t>
      </w:r>
      <w:r w:rsidRPr="00C238D1">
        <w:rPr>
          <w:rFonts w:ascii="Arial" w:hAnsi="Arial" w:cs="Arial"/>
          <w:bCs/>
          <w:lang w:val="es-AR" w:eastAsia="es-ES"/>
        </w:rPr>
        <w:t>oncesión</w:t>
      </w:r>
      <w:r>
        <w:rPr>
          <w:rFonts w:ascii="Arial" w:hAnsi="Arial" w:cs="Arial"/>
          <w:bCs/>
          <w:lang w:val="es-AR" w:eastAsia="es-ES"/>
        </w:rPr>
        <w:t>,</w:t>
      </w:r>
      <w:r w:rsidRPr="00C238D1">
        <w:rPr>
          <w:rFonts w:ascii="Arial" w:hAnsi="Arial" w:cs="Arial"/>
          <w:bCs/>
          <w:lang w:val="es-AR" w:eastAsia="es-ES"/>
        </w:rPr>
        <w:t xml:space="preserve"> </w:t>
      </w:r>
      <w:r>
        <w:rPr>
          <w:rFonts w:ascii="Arial" w:hAnsi="Arial" w:cs="Arial"/>
          <w:bCs/>
          <w:lang w:val="es-AR" w:eastAsia="es-ES"/>
        </w:rPr>
        <w:t xml:space="preserve">pero se indicaba la necesidad de someter las obras de construcción del depósito y la legalización de las demás a evaluación ambiental. El Estudio de Impacto Ambiental (EIA) se presentó en el año 2003 y en el año 2008 se emitiría una Declaración de Impacto Ambiental (DIA) negativa. Sobre su base, aunque diez años más tarde, en diciembre de 2018, se acabaría emitiendo resolución denegando </w:t>
      </w:r>
      <w:r w:rsidRPr="00403766">
        <w:rPr>
          <w:rFonts w:ascii="Arial" w:hAnsi="Arial" w:cs="Arial"/>
          <w:bCs/>
          <w:lang w:val="es-AR" w:eastAsia="es-ES"/>
        </w:rPr>
        <w:t>la modificación de características de la</w:t>
      </w:r>
      <w:r>
        <w:rPr>
          <w:rFonts w:ascii="Arial" w:hAnsi="Arial" w:cs="Arial"/>
          <w:bCs/>
          <w:lang w:val="es-AR" w:eastAsia="es-ES"/>
        </w:rPr>
        <w:t xml:space="preserve"> </w:t>
      </w:r>
      <w:r w:rsidRPr="00403766">
        <w:rPr>
          <w:rFonts w:ascii="Arial" w:hAnsi="Arial" w:cs="Arial"/>
          <w:bCs/>
          <w:lang w:val="es-AR" w:eastAsia="es-ES"/>
        </w:rPr>
        <w:t>concesión</w:t>
      </w:r>
      <w:r>
        <w:rPr>
          <w:rFonts w:ascii="Arial" w:hAnsi="Arial" w:cs="Arial"/>
          <w:bCs/>
          <w:lang w:val="es-AR" w:eastAsia="es-ES"/>
        </w:rPr>
        <w:t xml:space="preserve"> solicitada en 1999. Frente a esa resolución se presentó recurso de reposición, resuelto en sentido desestimatorio en enero de 2019. Es esa resolución la que es objeto del recurso </w:t>
      </w:r>
      <w:r w:rsidRPr="00AA6ACB">
        <w:rPr>
          <w:rFonts w:ascii="Arial" w:hAnsi="Arial" w:cs="Arial"/>
          <w:bCs/>
          <w:lang w:val="es-AR" w:eastAsia="es-ES"/>
        </w:rPr>
        <w:t>836/2019</w:t>
      </w:r>
      <w:r>
        <w:rPr>
          <w:rFonts w:ascii="Arial" w:hAnsi="Arial" w:cs="Arial"/>
          <w:bCs/>
          <w:lang w:val="es-AR" w:eastAsia="es-ES"/>
        </w:rPr>
        <w:t>, resuelto finalmente en sentencia 410/2022, de 10 de mayo.</w:t>
      </w:r>
    </w:p>
    <w:p w14:paraId="19EAA858" w14:textId="77777777" w:rsidR="005733EE" w:rsidRDefault="005733EE" w:rsidP="005733EE">
      <w:pPr>
        <w:rPr>
          <w:rFonts w:ascii="Arial" w:hAnsi="Arial" w:cs="Arial"/>
          <w:bCs/>
          <w:lang w:val="es-AR" w:eastAsia="es-ES"/>
        </w:rPr>
      </w:pPr>
      <w:r>
        <w:rPr>
          <w:rFonts w:ascii="Arial" w:hAnsi="Arial" w:cs="Arial"/>
          <w:bCs/>
          <w:lang w:val="es-AR" w:eastAsia="es-ES"/>
        </w:rPr>
        <w:t xml:space="preserve">Más allá de la llamativa lentitud en la tramitación del expediente, el caso ha llamado la atención de los primeros comentaristas ambientales, entendiendo que el </w:t>
      </w:r>
      <w:r>
        <w:rPr>
          <w:rFonts w:ascii="Arial" w:hAnsi="Arial" w:cs="Arial"/>
          <w:bCs/>
          <w:i/>
          <w:iCs/>
          <w:lang w:val="es-AR" w:eastAsia="es-ES"/>
        </w:rPr>
        <w:t xml:space="preserve">quid </w:t>
      </w:r>
      <w:r>
        <w:rPr>
          <w:rFonts w:ascii="Arial" w:hAnsi="Arial" w:cs="Arial"/>
          <w:bCs/>
          <w:lang w:val="es-AR" w:eastAsia="es-ES"/>
        </w:rPr>
        <w:t xml:space="preserve">del asunto estriba en determinar </w:t>
      </w:r>
      <w:r w:rsidRPr="00AA6ACB">
        <w:rPr>
          <w:rFonts w:ascii="Arial" w:hAnsi="Arial" w:cs="Arial"/>
          <w:bCs/>
          <w:lang w:val="es-AR" w:eastAsia="es-ES"/>
        </w:rPr>
        <w:t>si la presa y las instalaciones asociadas a la obra pueden considerarse aisladamente o si forman parte de un todo</w:t>
      </w:r>
      <w:r>
        <w:rPr>
          <w:rStyle w:val="Refdenotaalpie"/>
          <w:bCs/>
          <w:lang w:val="es-AR" w:eastAsia="es-ES"/>
        </w:rPr>
        <w:footnoteReference w:id="4"/>
      </w:r>
      <w:r w:rsidRPr="00AA6ACB">
        <w:rPr>
          <w:rFonts w:ascii="Arial" w:hAnsi="Arial" w:cs="Arial"/>
          <w:bCs/>
          <w:lang w:val="es-AR" w:eastAsia="es-ES"/>
        </w:rPr>
        <w:t>.</w:t>
      </w:r>
    </w:p>
    <w:p w14:paraId="5A48FD93" w14:textId="77777777" w:rsidR="005733EE" w:rsidRDefault="005733EE" w:rsidP="005733EE">
      <w:pPr>
        <w:rPr>
          <w:rFonts w:ascii="Arial" w:hAnsi="Arial" w:cs="Arial"/>
          <w:bCs/>
          <w:lang w:val="es-AR" w:eastAsia="es-ES"/>
        </w:rPr>
      </w:pPr>
      <w:r>
        <w:rPr>
          <w:rFonts w:ascii="Arial" w:hAnsi="Arial" w:cs="Arial"/>
          <w:bCs/>
          <w:lang w:val="es-AR" w:eastAsia="es-ES"/>
        </w:rPr>
        <w:t>Estando la resolución impugnada motivada en una DIA negativa, el grueso de la litis se centra en los intentos de la recurrente de desvirtuar su contenido</w:t>
      </w:r>
      <w:r>
        <w:rPr>
          <w:rStyle w:val="Refdenotaalpie"/>
          <w:bCs/>
          <w:lang w:val="es-AR" w:eastAsia="es-ES"/>
        </w:rPr>
        <w:footnoteReference w:id="5"/>
      </w:r>
      <w:r>
        <w:rPr>
          <w:rFonts w:ascii="Arial" w:hAnsi="Arial" w:cs="Arial"/>
          <w:bCs/>
          <w:lang w:val="es-AR" w:eastAsia="es-ES"/>
        </w:rPr>
        <w:t xml:space="preserve">. Así, EDP </w:t>
      </w:r>
      <w:r w:rsidRPr="0072292B">
        <w:rPr>
          <w:rFonts w:ascii="Arial" w:hAnsi="Arial" w:cs="Arial"/>
          <w:bCs/>
          <w:lang w:val="es-AR" w:eastAsia="es-ES"/>
        </w:rPr>
        <w:t>afirma</w:t>
      </w:r>
      <w:r>
        <w:rPr>
          <w:rFonts w:ascii="Arial" w:hAnsi="Arial" w:cs="Arial"/>
          <w:bCs/>
          <w:lang w:val="es-AR" w:eastAsia="es-ES"/>
        </w:rPr>
        <w:t xml:space="preserve"> </w:t>
      </w:r>
      <w:r w:rsidRPr="0072292B">
        <w:rPr>
          <w:rFonts w:ascii="Arial" w:hAnsi="Arial" w:cs="Arial"/>
          <w:bCs/>
          <w:lang w:val="es-AR" w:eastAsia="es-ES"/>
        </w:rPr>
        <w:t xml:space="preserve">que sus pretensiones son compatibles con la incorporación </w:t>
      </w:r>
      <w:r>
        <w:rPr>
          <w:rFonts w:ascii="Arial" w:hAnsi="Arial" w:cs="Arial"/>
          <w:bCs/>
          <w:lang w:val="es-AR" w:eastAsia="es-ES"/>
        </w:rPr>
        <w:t xml:space="preserve">de ciertas </w:t>
      </w:r>
      <w:r w:rsidRPr="0072292B">
        <w:rPr>
          <w:rFonts w:ascii="Arial" w:hAnsi="Arial" w:cs="Arial"/>
          <w:bCs/>
          <w:lang w:val="es-AR" w:eastAsia="es-ES"/>
        </w:rPr>
        <w:t>cautelas</w:t>
      </w:r>
      <w:r>
        <w:rPr>
          <w:rFonts w:ascii="Arial" w:hAnsi="Arial" w:cs="Arial"/>
          <w:bCs/>
          <w:lang w:val="es-AR" w:eastAsia="es-ES"/>
        </w:rPr>
        <w:t xml:space="preserve"> </w:t>
      </w:r>
      <w:r w:rsidRPr="0072292B">
        <w:rPr>
          <w:rFonts w:ascii="Arial" w:hAnsi="Arial" w:cs="Arial"/>
          <w:bCs/>
          <w:lang w:val="es-AR" w:eastAsia="es-ES"/>
        </w:rPr>
        <w:t>ambientales</w:t>
      </w:r>
      <w:r>
        <w:rPr>
          <w:rFonts w:ascii="Arial" w:hAnsi="Arial" w:cs="Arial"/>
          <w:bCs/>
          <w:lang w:val="es-AR" w:eastAsia="es-ES"/>
        </w:rPr>
        <w:t xml:space="preserve"> adicionales (aporta para ello distintos informes)</w:t>
      </w:r>
      <w:r w:rsidRPr="0072292B">
        <w:rPr>
          <w:rFonts w:ascii="Arial" w:hAnsi="Arial" w:cs="Arial"/>
          <w:bCs/>
          <w:lang w:val="es-AR" w:eastAsia="es-ES"/>
        </w:rPr>
        <w:t>. Por otro lado, destaca el largo tiempo transc</w:t>
      </w:r>
      <w:r>
        <w:rPr>
          <w:rFonts w:ascii="Arial" w:hAnsi="Arial" w:cs="Arial"/>
          <w:bCs/>
          <w:lang w:val="es-AR" w:eastAsia="es-ES"/>
        </w:rPr>
        <w:t>urrido entre la DIA negativa</w:t>
      </w:r>
      <w:r w:rsidRPr="0072292B">
        <w:rPr>
          <w:rFonts w:ascii="Arial" w:hAnsi="Arial" w:cs="Arial"/>
          <w:bCs/>
          <w:lang w:val="es-AR" w:eastAsia="es-ES"/>
        </w:rPr>
        <w:t xml:space="preserve"> y la </w:t>
      </w:r>
      <w:r w:rsidRPr="0072292B">
        <w:rPr>
          <w:rFonts w:ascii="Arial" w:hAnsi="Arial" w:cs="Arial"/>
          <w:bCs/>
          <w:lang w:val="es-AR" w:eastAsia="es-ES"/>
        </w:rPr>
        <w:lastRenderedPageBreak/>
        <w:t xml:space="preserve">Resolución </w:t>
      </w:r>
      <w:r>
        <w:rPr>
          <w:rFonts w:ascii="Arial" w:hAnsi="Arial" w:cs="Arial"/>
          <w:bCs/>
          <w:lang w:val="es-AR" w:eastAsia="es-ES"/>
        </w:rPr>
        <w:t xml:space="preserve">desestimatoria </w:t>
      </w:r>
      <w:r w:rsidRPr="0072292B">
        <w:rPr>
          <w:rFonts w:ascii="Arial" w:hAnsi="Arial" w:cs="Arial"/>
          <w:bCs/>
          <w:lang w:val="es-AR" w:eastAsia="es-ES"/>
        </w:rPr>
        <w:t>del</w:t>
      </w:r>
      <w:r>
        <w:rPr>
          <w:rFonts w:ascii="Arial" w:hAnsi="Arial" w:cs="Arial"/>
          <w:bCs/>
          <w:lang w:val="es-AR" w:eastAsia="es-ES"/>
        </w:rPr>
        <w:t xml:space="preserve"> o</w:t>
      </w:r>
      <w:r w:rsidRPr="0072292B">
        <w:rPr>
          <w:rFonts w:ascii="Arial" w:hAnsi="Arial" w:cs="Arial"/>
          <w:bCs/>
          <w:lang w:val="es-AR" w:eastAsia="es-ES"/>
        </w:rPr>
        <w:t>rgan</w:t>
      </w:r>
      <w:r>
        <w:rPr>
          <w:rFonts w:ascii="Arial" w:hAnsi="Arial" w:cs="Arial"/>
          <w:bCs/>
          <w:lang w:val="es-AR" w:eastAsia="es-ES"/>
        </w:rPr>
        <w:t>ism</w:t>
      </w:r>
      <w:r w:rsidRPr="0072292B">
        <w:rPr>
          <w:rFonts w:ascii="Arial" w:hAnsi="Arial" w:cs="Arial"/>
          <w:bCs/>
          <w:lang w:val="es-AR" w:eastAsia="es-ES"/>
        </w:rPr>
        <w:t xml:space="preserve">o de </w:t>
      </w:r>
      <w:r>
        <w:rPr>
          <w:rFonts w:ascii="Arial" w:hAnsi="Arial" w:cs="Arial"/>
          <w:bCs/>
          <w:lang w:val="es-AR" w:eastAsia="es-ES"/>
        </w:rPr>
        <w:t>c</w:t>
      </w:r>
      <w:r w:rsidRPr="0072292B">
        <w:rPr>
          <w:rFonts w:ascii="Arial" w:hAnsi="Arial" w:cs="Arial"/>
          <w:bCs/>
          <w:lang w:val="es-AR" w:eastAsia="es-ES"/>
        </w:rPr>
        <w:t>uenca, de forma que se han producido reformas normativas que afectan a la explotación de la</w:t>
      </w:r>
      <w:r>
        <w:rPr>
          <w:rFonts w:ascii="Arial" w:hAnsi="Arial" w:cs="Arial"/>
          <w:bCs/>
          <w:lang w:val="es-AR" w:eastAsia="es-ES"/>
        </w:rPr>
        <w:t xml:space="preserve"> central</w:t>
      </w:r>
      <w:r w:rsidRPr="0072292B">
        <w:rPr>
          <w:rFonts w:ascii="Arial" w:hAnsi="Arial" w:cs="Arial"/>
          <w:bCs/>
          <w:lang w:val="es-AR" w:eastAsia="es-ES"/>
        </w:rPr>
        <w:t xml:space="preserve"> o, al menos permite disponer, este lapso temporal, de mayor información para realizar un análisis</w:t>
      </w:r>
      <w:r>
        <w:rPr>
          <w:rFonts w:ascii="Arial" w:hAnsi="Arial" w:cs="Arial"/>
          <w:bCs/>
          <w:lang w:val="es-AR" w:eastAsia="es-ES"/>
        </w:rPr>
        <w:t xml:space="preserve"> </w:t>
      </w:r>
      <w:r w:rsidRPr="0072292B">
        <w:rPr>
          <w:rFonts w:ascii="Arial" w:hAnsi="Arial" w:cs="Arial"/>
          <w:bCs/>
          <w:lang w:val="es-AR" w:eastAsia="es-ES"/>
        </w:rPr>
        <w:t>del impacto que supondría la modificación concesional más ajustado a la realidad</w:t>
      </w:r>
      <w:r>
        <w:rPr>
          <w:rFonts w:ascii="Arial" w:hAnsi="Arial" w:cs="Arial"/>
          <w:bCs/>
          <w:lang w:val="es-AR" w:eastAsia="es-ES"/>
        </w:rPr>
        <w:t xml:space="preserve"> e incluso</w:t>
      </w:r>
      <w:r w:rsidRPr="0072292B">
        <w:rPr>
          <w:rFonts w:ascii="Arial" w:hAnsi="Arial" w:cs="Arial"/>
          <w:bCs/>
          <w:lang w:val="es-AR" w:eastAsia="es-ES"/>
        </w:rPr>
        <w:t xml:space="preserve"> manifiesta su disconformidad con el hecho de que fuera necesaria la DIA </w:t>
      </w:r>
      <w:r>
        <w:rPr>
          <w:rFonts w:ascii="Arial" w:hAnsi="Arial" w:cs="Arial"/>
          <w:bCs/>
          <w:lang w:val="es-AR" w:eastAsia="es-ES"/>
        </w:rPr>
        <w:t>par</w:t>
      </w:r>
      <w:r w:rsidRPr="0072292B">
        <w:rPr>
          <w:rFonts w:ascii="Arial" w:hAnsi="Arial" w:cs="Arial"/>
          <w:bCs/>
          <w:lang w:val="es-AR" w:eastAsia="es-ES"/>
        </w:rPr>
        <w:t>a las obras a</w:t>
      </w:r>
      <w:r>
        <w:rPr>
          <w:rFonts w:ascii="Arial" w:hAnsi="Arial" w:cs="Arial"/>
          <w:bCs/>
          <w:lang w:val="es-AR" w:eastAsia="es-ES"/>
        </w:rPr>
        <w:t xml:space="preserve"> </w:t>
      </w:r>
      <w:r w:rsidRPr="0072292B">
        <w:rPr>
          <w:rFonts w:ascii="Arial" w:hAnsi="Arial" w:cs="Arial"/>
          <w:bCs/>
          <w:lang w:val="es-AR" w:eastAsia="es-ES"/>
        </w:rPr>
        <w:t xml:space="preserve">legalizar, más allá del embalse que se ejecutaba </w:t>
      </w:r>
      <w:r w:rsidRPr="0072292B">
        <w:rPr>
          <w:rFonts w:ascii="Arial" w:hAnsi="Arial" w:cs="Arial"/>
          <w:bCs/>
          <w:i/>
          <w:iCs/>
          <w:lang w:val="es-AR" w:eastAsia="es-ES"/>
        </w:rPr>
        <w:t xml:space="preserve">ex </w:t>
      </w:r>
      <w:proofErr w:type="spellStart"/>
      <w:r w:rsidRPr="0072292B">
        <w:rPr>
          <w:rFonts w:ascii="Arial" w:hAnsi="Arial" w:cs="Arial"/>
          <w:bCs/>
          <w:i/>
          <w:iCs/>
          <w:lang w:val="es-AR" w:eastAsia="es-ES"/>
        </w:rPr>
        <w:t>novo</w:t>
      </w:r>
      <w:proofErr w:type="spellEnd"/>
      <w:r w:rsidRPr="0072292B">
        <w:rPr>
          <w:rFonts w:ascii="Arial" w:hAnsi="Arial" w:cs="Arial"/>
          <w:bCs/>
          <w:lang w:val="es-AR" w:eastAsia="es-ES"/>
        </w:rPr>
        <w:t xml:space="preserve"> (aun cuando previsto en el proyecto inicial).</w:t>
      </w:r>
      <w:r>
        <w:rPr>
          <w:rFonts w:ascii="Arial" w:hAnsi="Arial" w:cs="Arial"/>
          <w:bCs/>
          <w:lang w:val="es-AR" w:eastAsia="es-ES"/>
        </w:rPr>
        <w:t xml:space="preserve"> También afeaba a la Confederación no haber acudido al </w:t>
      </w:r>
      <w:r w:rsidRPr="0072292B">
        <w:rPr>
          <w:rFonts w:ascii="Arial" w:hAnsi="Arial" w:cs="Arial"/>
          <w:bCs/>
          <w:lang w:val="es-AR" w:eastAsia="es-ES"/>
        </w:rPr>
        <w:t>mecanismo de resolución de discrepancias previsto en el art. 20 del Real</w:t>
      </w:r>
      <w:r>
        <w:rPr>
          <w:rFonts w:ascii="Arial" w:hAnsi="Arial" w:cs="Arial"/>
          <w:bCs/>
          <w:lang w:val="es-AR" w:eastAsia="es-ES"/>
        </w:rPr>
        <w:t xml:space="preserve"> </w:t>
      </w:r>
      <w:r w:rsidRPr="0072292B">
        <w:rPr>
          <w:rFonts w:ascii="Arial" w:hAnsi="Arial" w:cs="Arial"/>
          <w:bCs/>
          <w:lang w:val="es-AR" w:eastAsia="es-ES"/>
        </w:rPr>
        <w:t>Decreto 1131/1988</w:t>
      </w:r>
      <w:r>
        <w:rPr>
          <w:rFonts w:ascii="Arial" w:hAnsi="Arial" w:cs="Arial"/>
          <w:bCs/>
          <w:lang w:val="es-AR" w:eastAsia="es-ES"/>
        </w:rPr>
        <w:t>.</w:t>
      </w:r>
    </w:p>
    <w:p w14:paraId="3D34E6CA" w14:textId="77777777" w:rsidR="005733EE" w:rsidRDefault="005733EE" w:rsidP="005733EE">
      <w:pPr>
        <w:rPr>
          <w:rFonts w:ascii="Arial" w:hAnsi="Arial" w:cs="Arial"/>
          <w:bCs/>
          <w:lang w:val="es-AR" w:eastAsia="es-ES"/>
        </w:rPr>
      </w:pPr>
      <w:r>
        <w:rPr>
          <w:rFonts w:ascii="Arial" w:hAnsi="Arial" w:cs="Arial"/>
          <w:bCs/>
          <w:lang w:val="es-AR" w:eastAsia="es-ES"/>
        </w:rPr>
        <w:t xml:space="preserve">El TSJA se esfuerza a lo largo de toda la sentencia en dejar claro el marco temporal del litigio, pues todo </w:t>
      </w:r>
      <w:r w:rsidRPr="0072292B">
        <w:rPr>
          <w:rFonts w:ascii="Arial" w:hAnsi="Arial" w:cs="Arial"/>
          <w:bCs/>
          <w:lang w:val="es-AR" w:eastAsia="es-ES"/>
        </w:rPr>
        <w:t>el debate debe situarse en la documentación e información aportada por la interesada</w:t>
      </w:r>
      <w:r>
        <w:rPr>
          <w:rFonts w:ascii="Arial" w:hAnsi="Arial" w:cs="Arial"/>
          <w:bCs/>
          <w:lang w:val="es-AR" w:eastAsia="es-ES"/>
        </w:rPr>
        <w:t xml:space="preserve"> al procedimiento</w:t>
      </w:r>
      <w:r w:rsidRPr="0072292B">
        <w:rPr>
          <w:rFonts w:ascii="Arial" w:hAnsi="Arial" w:cs="Arial"/>
          <w:bCs/>
          <w:lang w:val="es-AR" w:eastAsia="es-ES"/>
        </w:rPr>
        <w:t xml:space="preserve">, su </w:t>
      </w:r>
      <w:proofErr w:type="spellStart"/>
      <w:r w:rsidRPr="0072292B">
        <w:rPr>
          <w:rFonts w:ascii="Arial" w:hAnsi="Arial" w:cs="Arial"/>
          <w:bCs/>
          <w:lang w:val="es-AR" w:eastAsia="es-ES"/>
        </w:rPr>
        <w:t>El</w:t>
      </w:r>
      <w:r>
        <w:rPr>
          <w:rFonts w:ascii="Arial" w:hAnsi="Arial" w:cs="Arial"/>
          <w:bCs/>
          <w:lang w:val="es-AR" w:eastAsia="es-ES"/>
        </w:rPr>
        <w:t>A</w:t>
      </w:r>
      <w:proofErr w:type="spellEnd"/>
      <w:r w:rsidRPr="0072292B">
        <w:rPr>
          <w:rFonts w:ascii="Arial" w:hAnsi="Arial" w:cs="Arial"/>
          <w:bCs/>
          <w:lang w:val="es-AR" w:eastAsia="es-ES"/>
        </w:rPr>
        <w:t>, y la normativa de aplicación que consideró la Administración del Estado para formular la DIA</w:t>
      </w:r>
      <w:r>
        <w:rPr>
          <w:rFonts w:ascii="Arial" w:hAnsi="Arial" w:cs="Arial"/>
          <w:bCs/>
          <w:lang w:val="es-AR" w:eastAsia="es-ES"/>
        </w:rPr>
        <w:t xml:space="preserve"> negativa; </w:t>
      </w:r>
      <w:r w:rsidRPr="0072292B">
        <w:rPr>
          <w:rFonts w:ascii="Arial" w:hAnsi="Arial" w:cs="Arial"/>
          <w:bCs/>
          <w:lang w:val="es-AR" w:eastAsia="es-ES"/>
        </w:rPr>
        <w:t>no pu</w:t>
      </w:r>
      <w:r>
        <w:rPr>
          <w:rFonts w:ascii="Arial" w:hAnsi="Arial" w:cs="Arial"/>
          <w:bCs/>
          <w:lang w:val="es-AR" w:eastAsia="es-ES"/>
        </w:rPr>
        <w:t>ede</w:t>
      </w:r>
      <w:r w:rsidRPr="0072292B">
        <w:rPr>
          <w:rFonts w:ascii="Arial" w:hAnsi="Arial" w:cs="Arial"/>
          <w:bCs/>
          <w:lang w:val="es-AR" w:eastAsia="es-ES"/>
        </w:rPr>
        <w:t xml:space="preserve"> pretenderse que el debate se extienda a cambios normativos posteriores o circunstancias</w:t>
      </w:r>
      <w:r>
        <w:rPr>
          <w:rFonts w:ascii="Arial" w:hAnsi="Arial" w:cs="Arial"/>
          <w:bCs/>
          <w:lang w:val="es-AR" w:eastAsia="es-ES"/>
        </w:rPr>
        <w:t xml:space="preserve"> </w:t>
      </w:r>
      <w:r w:rsidRPr="0072292B">
        <w:rPr>
          <w:rFonts w:ascii="Arial" w:hAnsi="Arial" w:cs="Arial"/>
          <w:bCs/>
          <w:lang w:val="es-AR" w:eastAsia="es-ES"/>
        </w:rPr>
        <w:t>sobrevenidas, desconocidas en el mo</w:t>
      </w:r>
      <w:r>
        <w:rPr>
          <w:rFonts w:ascii="Arial" w:hAnsi="Arial" w:cs="Arial"/>
          <w:bCs/>
          <w:lang w:val="es-AR" w:eastAsia="es-ES"/>
        </w:rPr>
        <w:t>mento de formularse el proyecto</w:t>
      </w:r>
      <w:r w:rsidRPr="0072292B">
        <w:rPr>
          <w:rFonts w:ascii="Arial" w:hAnsi="Arial" w:cs="Arial"/>
          <w:bCs/>
          <w:lang w:val="es-AR" w:eastAsia="es-ES"/>
        </w:rPr>
        <w:t xml:space="preserve"> y la DIA</w:t>
      </w:r>
      <w:r>
        <w:rPr>
          <w:rFonts w:ascii="Arial" w:hAnsi="Arial" w:cs="Arial"/>
          <w:bCs/>
          <w:lang w:val="es-AR" w:eastAsia="es-ES"/>
        </w:rPr>
        <w:t xml:space="preserve"> (Fundamento de Derecho tercero). </w:t>
      </w:r>
    </w:p>
    <w:p w14:paraId="3186ACEC" w14:textId="77777777" w:rsidR="005733EE" w:rsidRDefault="005733EE" w:rsidP="005733EE">
      <w:pPr>
        <w:rPr>
          <w:rFonts w:ascii="Arial" w:hAnsi="Arial" w:cs="Arial"/>
          <w:bCs/>
          <w:lang w:val="es-AR" w:eastAsia="es-ES"/>
        </w:rPr>
      </w:pPr>
      <w:r>
        <w:rPr>
          <w:rFonts w:ascii="Arial" w:hAnsi="Arial" w:cs="Arial"/>
          <w:bCs/>
          <w:lang w:val="es-AR" w:eastAsia="es-ES"/>
        </w:rPr>
        <w:t xml:space="preserve">Que el EIA debía cubrir la instalación en su conjunto lo zanja el TSJA de manera temprana, en ese mismo Fundamento de Derecho, pues recuerda que </w:t>
      </w:r>
      <w:r w:rsidRPr="0072292B">
        <w:rPr>
          <w:rFonts w:ascii="Arial" w:hAnsi="Arial" w:cs="Arial"/>
          <w:bCs/>
          <w:lang w:val="es-AR" w:eastAsia="es-ES"/>
        </w:rPr>
        <w:t>aun cuando se parte de una previa autorización de 1957, esta tenía una serie delimitaciones que no fueron respetadas en la</w:t>
      </w:r>
      <w:r>
        <w:rPr>
          <w:rFonts w:ascii="Arial" w:hAnsi="Arial" w:cs="Arial"/>
          <w:bCs/>
          <w:lang w:val="es-AR" w:eastAsia="es-ES"/>
        </w:rPr>
        <w:t xml:space="preserve"> </w:t>
      </w:r>
      <w:r w:rsidRPr="0072292B">
        <w:rPr>
          <w:rFonts w:ascii="Arial" w:hAnsi="Arial" w:cs="Arial"/>
          <w:bCs/>
          <w:lang w:val="es-AR" w:eastAsia="es-ES"/>
        </w:rPr>
        <w:t xml:space="preserve">obra ejecutada </w:t>
      </w:r>
      <w:r>
        <w:rPr>
          <w:rFonts w:ascii="Arial" w:hAnsi="Arial" w:cs="Arial"/>
          <w:bCs/>
          <w:lang w:val="es-AR" w:eastAsia="es-ES"/>
        </w:rPr>
        <w:t>(</w:t>
      </w:r>
      <w:r w:rsidRPr="0072292B">
        <w:rPr>
          <w:rFonts w:ascii="Arial" w:hAnsi="Arial" w:cs="Arial"/>
          <w:bCs/>
          <w:lang w:val="es-AR" w:eastAsia="es-ES"/>
        </w:rPr>
        <w:t>lo que impidió la aprobación del primer Acta de comprobación</w:t>
      </w:r>
      <w:r>
        <w:rPr>
          <w:rFonts w:ascii="Arial" w:hAnsi="Arial" w:cs="Arial"/>
          <w:bCs/>
          <w:lang w:val="es-AR" w:eastAsia="es-ES"/>
        </w:rPr>
        <w:t xml:space="preserve"> en 1962). Así las cosas,</w:t>
      </w:r>
      <w:r w:rsidRPr="0072292B">
        <w:rPr>
          <w:rFonts w:ascii="Arial" w:hAnsi="Arial" w:cs="Arial"/>
          <w:bCs/>
          <w:lang w:val="es-AR" w:eastAsia="es-ES"/>
        </w:rPr>
        <w:t xml:space="preserve"> todo</w:t>
      </w:r>
      <w:r>
        <w:rPr>
          <w:rFonts w:ascii="Arial" w:hAnsi="Arial" w:cs="Arial"/>
          <w:bCs/>
          <w:lang w:val="es-AR" w:eastAsia="es-ES"/>
        </w:rPr>
        <w:t xml:space="preserve"> </w:t>
      </w:r>
      <w:r w:rsidRPr="0072292B">
        <w:rPr>
          <w:rFonts w:ascii="Arial" w:hAnsi="Arial" w:cs="Arial"/>
          <w:bCs/>
          <w:lang w:val="es-AR" w:eastAsia="es-ES"/>
        </w:rPr>
        <w:t>lo que excedía de los parámetros de aquell</w:t>
      </w:r>
      <w:r>
        <w:rPr>
          <w:rFonts w:ascii="Arial" w:hAnsi="Arial" w:cs="Arial"/>
          <w:bCs/>
          <w:lang w:val="es-AR" w:eastAsia="es-ES"/>
        </w:rPr>
        <w:t>a autorización no se encuadraba</w:t>
      </w:r>
      <w:r w:rsidRPr="0072292B">
        <w:rPr>
          <w:rFonts w:ascii="Arial" w:hAnsi="Arial" w:cs="Arial"/>
          <w:bCs/>
          <w:lang w:val="es-AR" w:eastAsia="es-ES"/>
        </w:rPr>
        <w:t xml:space="preserve"> en esta, y su legalización debe</w:t>
      </w:r>
      <w:r>
        <w:rPr>
          <w:rFonts w:ascii="Arial" w:hAnsi="Arial" w:cs="Arial"/>
          <w:bCs/>
          <w:lang w:val="es-AR" w:eastAsia="es-ES"/>
        </w:rPr>
        <w:t xml:space="preserve"> </w:t>
      </w:r>
      <w:r w:rsidRPr="0072292B">
        <w:rPr>
          <w:rFonts w:ascii="Arial" w:hAnsi="Arial" w:cs="Arial"/>
          <w:bCs/>
          <w:lang w:val="es-AR" w:eastAsia="es-ES"/>
        </w:rPr>
        <w:t>presentarse como si de una obra nueva se tratase, aun cua</w:t>
      </w:r>
      <w:r>
        <w:rPr>
          <w:rFonts w:ascii="Arial" w:hAnsi="Arial" w:cs="Arial"/>
          <w:bCs/>
          <w:lang w:val="es-AR" w:eastAsia="es-ES"/>
        </w:rPr>
        <w:t>ndo ya ejecutada parcialmente, quedando</w:t>
      </w:r>
      <w:r w:rsidRPr="0072292B">
        <w:rPr>
          <w:rFonts w:ascii="Arial" w:hAnsi="Arial" w:cs="Arial"/>
          <w:bCs/>
          <w:lang w:val="es-AR" w:eastAsia="es-ES"/>
        </w:rPr>
        <w:t xml:space="preserve"> sometida</w:t>
      </w:r>
      <w:r>
        <w:rPr>
          <w:rFonts w:ascii="Arial" w:hAnsi="Arial" w:cs="Arial"/>
          <w:bCs/>
          <w:lang w:val="es-AR" w:eastAsia="es-ES"/>
        </w:rPr>
        <w:t xml:space="preserve"> por ello</w:t>
      </w:r>
      <w:r w:rsidRPr="0072292B">
        <w:rPr>
          <w:rFonts w:ascii="Arial" w:hAnsi="Arial" w:cs="Arial"/>
          <w:bCs/>
          <w:lang w:val="es-AR" w:eastAsia="es-ES"/>
        </w:rPr>
        <w:t xml:space="preserve"> a la</w:t>
      </w:r>
      <w:r>
        <w:rPr>
          <w:rFonts w:ascii="Arial" w:hAnsi="Arial" w:cs="Arial"/>
          <w:bCs/>
          <w:lang w:val="es-AR" w:eastAsia="es-ES"/>
        </w:rPr>
        <w:t xml:space="preserve"> </w:t>
      </w:r>
      <w:r w:rsidRPr="0072292B">
        <w:rPr>
          <w:rFonts w:ascii="Arial" w:hAnsi="Arial" w:cs="Arial"/>
          <w:bCs/>
          <w:lang w:val="es-AR" w:eastAsia="es-ES"/>
        </w:rPr>
        <w:t>normativa de aplicación en el momento que se pretende la legalización</w:t>
      </w:r>
      <w:r>
        <w:rPr>
          <w:rFonts w:ascii="Arial" w:hAnsi="Arial" w:cs="Arial"/>
          <w:bCs/>
          <w:lang w:val="es-AR" w:eastAsia="es-ES"/>
        </w:rPr>
        <w:t xml:space="preserve"> (1999). N</w:t>
      </w:r>
      <w:r w:rsidRPr="0072292B">
        <w:rPr>
          <w:rFonts w:ascii="Arial" w:hAnsi="Arial" w:cs="Arial"/>
          <w:bCs/>
          <w:lang w:val="es-AR" w:eastAsia="es-ES"/>
        </w:rPr>
        <w:t xml:space="preserve">o </w:t>
      </w:r>
      <w:r>
        <w:rPr>
          <w:rFonts w:ascii="Arial" w:hAnsi="Arial" w:cs="Arial"/>
          <w:bCs/>
          <w:lang w:val="es-AR" w:eastAsia="es-ES"/>
        </w:rPr>
        <w:t xml:space="preserve">se puede </w:t>
      </w:r>
      <w:r w:rsidRPr="0072292B">
        <w:rPr>
          <w:rFonts w:ascii="Arial" w:hAnsi="Arial" w:cs="Arial"/>
          <w:bCs/>
          <w:lang w:val="es-AR" w:eastAsia="es-ES"/>
        </w:rPr>
        <w:t>aislar la presa del origen del caudal, que proviene de zonas</w:t>
      </w:r>
      <w:r>
        <w:rPr>
          <w:rFonts w:ascii="Arial" w:hAnsi="Arial" w:cs="Arial"/>
          <w:bCs/>
          <w:lang w:val="es-AR" w:eastAsia="es-ES"/>
        </w:rPr>
        <w:t xml:space="preserve"> </w:t>
      </w:r>
      <w:r w:rsidRPr="0072292B">
        <w:rPr>
          <w:rFonts w:ascii="Arial" w:hAnsi="Arial" w:cs="Arial"/>
          <w:bCs/>
          <w:lang w:val="es-AR" w:eastAsia="es-ES"/>
        </w:rPr>
        <w:t>protegidas</w:t>
      </w:r>
      <w:r>
        <w:rPr>
          <w:rFonts w:ascii="Arial" w:hAnsi="Arial" w:cs="Arial"/>
          <w:bCs/>
          <w:lang w:val="es-AR" w:eastAsia="es-ES"/>
        </w:rPr>
        <w:t xml:space="preserve"> y por eso la DIA debía contemplar la afección para el conjunto de la instalación a legalizar.</w:t>
      </w:r>
    </w:p>
    <w:p w14:paraId="16A4B5E6" w14:textId="77777777" w:rsidR="005733EE" w:rsidRDefault="005733EE" w:rsidP="005733EE">
      <w:pPr>
        <w:rPr>
          <w:rFonts w:ascii="Arial" w:hAnsi="Arial" w:cs="Arial"/>
          <w:bCs/>
          <w:lang w:val="es-AR" w:eastAsia="es-ES"/>
        </w:rPr>
      </w:pPr>
      <w:r>
        <w:rPr>
          <w:rFonts w:ascii="Arial" w:hAnsi="Arial" w:cs="Arial"/>
          <w:bCs/>
          <w:lang w:val="es-AR" w:eastAsia="es-ES"/>
        </w:rPr>
        <w:t xml:space="preserve">Se descarta también la aplicación del mecanismo previsto en </w:t>
      </w:r>
      <w:r w:rsidRPr="00AB7DF9">
        <w:rPr>
          <w:rFonts w:ascii="Arial" w:hAnsi="Arial" w:cs="Arial"/>
          <w:bCs/>
          <w:lang w:val="es-AR" w:eastAsia="es-ES"/>
        </w:rPr>
        <w:t>la aplicación del art. 20 del Real Decreto 1131/1988, que aprobaba el Reglamento</w:t>
      </w:r>
      <w:r>
        <w:rPr>
          <w:rFonts w:ascii="Arial" w:hAnsi="Arial" w:cs="Arial"/>
          <w:bCs/>
          <w:lang w:val="es-AR" w:eastAsia="es-ES"/>
        </w:rPr>
        <w:t xml:space="preserve"> </w:t>
      </w:r>
      <w:r w:rsidRPr="00AB7DF9">
        <w:rPr>
          <w:rFonts w:ascii="Arial" w:hAnsi="Arial" w:cs="Arial"/>
          <w:bCs/>
          <w:lang w:val="es-AR" w:eastAsia="es-ES"/>
        </w:rPr>
        <w:t>para ejecución del Real Decreto Leg</w:t>
      </w:r>
      <w:r>
        <w:rPr>
          <w:rFonts w:ascii="Arial" w:hAnsi="Arial" w:cs="Arial"/>
          <w:bCs/>
          <w:lang w:val="es-AR" w:eastAsia="es-ES"/>
        </w:rPr>
        <w:t>islativo 1302/1986, de 28 de junio, de evaluación del impacto a</w:t>
      </w:r>
      <w:r w:rsidRPr="00AB7DF9">
        <w:rPr>
          <w:rFonts w:ascii="Arial" w:hAnsi="Arial" w:cs="Arial"/>
          <w:bCs/>
          <w:lang w:val="es-AR" w:eastAsia="es-ES"/>
        </w:rPr>
        <w:t>mbiental</w:t>
      </w:r>
      <w:r>
        <w:rPr>
          <w:rFonts w:ascii="Arial" w:hAnsi="Arial" w:cs="Arial"/>
          <w:bCs/>
          <w:lang w:val="es-AR" w:eastAsia="es-ES"/>
        </w:rPr>
        <w:t xml:space="preserve">, porque el mismo se refería a discrepancias entre </w:t>
      </w:r>
      <w:r w:rsidRPr="00AB7DF9">
        <w:rPr>
          <w:rFonts w:ascii="Arial" w:hAnsi="Arial" w:cs="Arial"/>
          <w:bCs/>
          <w:lang w:val="es-AR" w:eastAsia="es-ES"/>
        </w:rPr>
        <w:t>el órgano competente para la autorización sustantiva del</w:t>
      </w:r>
      <w:r>
        <w:rPr>
          <w:rFonts w:ascii="Arial" w:hAnsi="Arial" w:cs="Arial"/>
          <w:bCs/>
          <w:lang w:val="es-AR" w:eastAsia="es-ES"/>
        </w:rPr>
        <w:t xml:space="preserve"> </w:t>
      </w:r>
      <w:r w:rsidRPr="00AB7DF9">
        <w:rPr>
          <w:rFonts w:ascii="Arial" w:hAnsi="Arial" w:cs="Arial"/>
          <w:bCs/>
          <w:lang w:val="es-AR" w:eastAsia="es-ES"/>
        </w:rPr>
        <w:t xml:space="preserve">proyecto, en </w:t>
      </w:r>
      <w:r w:rsidRPr="00AB7DF9">
        <w:rPr>
          <w:rFonts w:ascii="Arial" w:hAnsi="Arial" w:cs="Arial"/>
          <w:bCs/>
          <w:lang w:val="es-AR" w:eastAsia="es-ES"/>
        </w:rPr>
        <w:lastRenderedPageBreak/>
        <w:t xml:space="preserve">este caso la </w:t>
      </w:r>
      <w:r>
        <w:rPr>
          <w:rFonts w:ascii="Arial" w:hAnsi="Arial" w:cs="Arial"/>
          <w:bCs/>
          <w:lang w:val="es-AR" w:eastAsia="es-ES"/>
        </w:rPr>
        <w:t>C</w:t>
      </w:r>
      <w:r w:rsidRPr="00AB7DF9">
        <w:rPr>
          <w:rFonts w:ascii="Arial" w:hAnsi="Arial" w:cs="Arial"/>
          <w:bCs/>
          <w:lang w:val="es-AR" w:eastAsia="es-ES"/>
        </w:rPr>
        <w:t xml:space="preserve">HN, </w:t>
      </w:r>
      <w:r>
        <w:rPr>
          <w:rFonts w:ascii="Arial" w:hAnsi="Arial" w:cs="Arial"/>
          <w:bCs/>
          <w:lang w:val="es-AR" w:eastAsia="es-ES"/>
        </w:rPr>
        <w:t xml:space="preserve">y </w:t>
      </w:r>
      <w:r w:rsidRPr="00AB7DF9">
        <w:rPr>
          <w:rFonts w:ascii="Arial" w:hAnsi="Arial" w:cs="Arial"/>
          <w:bCs/>
          <w:lang w:val="es-AR" w:eastAsia="es-ES"/>
        </w:rPr>
        <w:t>el órgano administrativo de medio ambiente</w:t>
      </w:r>
      <w:r>
        <w:rPr>
          <w:rFonts w:ascii="Arial" w:hAnsi="Arial" w:cs="Arial"/>
          <w:bCs/>
          <w:lang w:val="es-AR" w:eastAsia="es-ES"/>
        </w:rPr>
        <w:t>, cosa que aquí no sucedió.</w:t>
      </w:r>
    </w:p>
    <w:p w14:paraId="47E2FC11" w14:textId="77777777" w:rsidR="005733EE" w:rsidRDefault="005733EE" w:rsidP="005733EE">
      <w:pPr>
        <w:rPr>
          <w:rFonts w:ascii="Arial" w:hAnsi="Arial" w:cs="Arial"/>
          <w:bCs/>
          <w:lang w:val="es-AR" w:eastAsia="es-ES"/>
        </w:rPr>
      </w:pPr>
      <w:r>
        <w:rPr>
          <w:rFonts w:ascii="Arial" w:hAnsi="Arial" w:cs="Arial"/>
          <w:bCs/>
          <w:lang w:val="es-AR" w:eastAsia="es-ES"/>
        </w:rPr>
        <w:t xml:space="preserve">Sobre el contenido de los informes que se aportan como intento de contrarrestar el sentido negativo de la DIA, el TSJA </w:t>
      </w:r>
      <w:proofErr w:type="gramStart"/>
      <w:r>
        <w:rPr>
          <w:rFonts w:ascii="Arial" w:hAnsi="Arial" w:cs="Arial"/>
          <w:bCs/>
          <w:lang w:val="es-AR" w:eastAsia="es-ES"/>
        </w:rPr>
        <w:t>vuelve a insistir</w:t>
      </w:r>
      <w:proofErr w:type="gramEnd"/>
      <w:r>
        <w:rPr>
          <w:rFonts w:ascii="Arial" w:hAnsi="Arial" w:cs="Arial"/>
          <w:bCs/>
          <w:lang w:val="es-AR" w:eastAsia="es-ES"/>
        </w:rPr>
        <w:t xml:space="preserve"> en que no cabe </w:t>
      </w:r>
      <w:r w:rsidRPr="00AB7DF9">
        <w:rPr>
          <w:rFonts w:ascii="Arial" w:hAnsi="Arial" w:cs="Arial"/>
          <w:bCs/>
          <w:lang w:val="es-AR" w:eastAsia="es-ES"/>
        </w:rPr>
        <w:t xml:space="preserve">acoger elementos y circunstancias sobrevenidas, </w:t>
      </w:r>
      <w:r>
        <w:rPr>
          <w:rFonts w:ascii="Arial" w:hAnsi="Arial" w:cs="Arial"/>
          <w:bCs/>
          <w:lang w:val="es-AR" w:eastAsia="es-ES"/>
        </w:rPr>
        <w:t>o</w:t>
      </w:r>
      <w:r w:rsidRPr="00AB7DF9">
        <w:rPr>
          <w:rFonts w:ascii="Arial" w:hAnsi="Arial" w:cs="Arial"/>
          <w:bCs/>
          <w:lang w:val="es-AR" w:eastAsia="es-ES"/>
        </w:rPr>
        <w:t xml:space="preserve"> parámetros de valoración sustentados en normativa y</w:t>
      </w:r>
      <w:r>
        <w:rPr>
          <w:rFonts w:ascii="Arial" w:hAnsi="Arial" w:cs="Arial"/>
          <w:bCs/>
          <w:lang w:val="es-AR" w:eastAsia="es-ES"/>
        </w:rPr>
        <w:t xml:space="preserve"> </w:t>
      </w:r>
      <w:r w:rsidRPr="00AB7DF9">
        <w:rPr>
          <w:rFonts w:ascii="Arial" w:hAnsi="Arial" w:cs="Arial"/>
          <w:bCs/>
          <w:lang w:val="es-AR" w:eastAsia="es-ES"/>
        </w:rPr>
        <w:t>documentación técnica posterior, como si de un nuevo EIA, o de un complemento a est</w:t>
      </w:r>
      <w:r>
        <w:rPr>
          <w:rFonts w:ascii="Arial" w:hAnsi="Arial" w:cs="Arial"/>
          <w:bCs/>
          <w:lang w:val="es-AR" w:eastAsia="es-ES"/>
        </w:rPr>
        <w:t>e,</w:t>
      </w:r>
      <w:r w:rsidRPr="00AB7DF9">
        <w:rPr>
          <w:rFonts w:ascii="Arial" w:hAnsi="Arial" w:cs="Arial"/>
          <w:bCs/>
          <w:lang w:val="es-AR" w:eastAsia="es-ES"/>
        </w:rPr>
        <w:t xml:space="preserve"> se tratase</w:t>
      </w:r>
      <w:r>
        <w:rPr>
          <w:rFonts w:ascii="Arial" w:hAnsi="Arial" w:cs="Arial"/>
          <w:bCs/>
          <w:lang w:val="es-AR" w:eastAsia="es-ES"/>
        </w:rPr>
        <w:t>. S</w:t>
      </w:r>
      <w:r w:rsidRPr="00AB7DF9">
        <w:rPr>
          <w:rFonts w:ascii="Arial" w:hAnsi="Arial" w:cs="Arial"/>
          <w:bCs/>
          <w:lang w:val="es-AR" w:eastAsia="es-ES"/>
        </w:rPr>
        <w:t xml:space="preserve">i </w:t>
      </w:r>
      <w:r>
        <w:rPr>
          <w:rFonts w:ascii="Arial" w:hAnsi="Arial" w:cs="Arial"/>
          <w:bCs/>
          <w:lang w:val="es-AR" w:eastAsia="es-ES"/>
        </w:rPr>
        <w:t xml:space="preserve">se </w:t>
      </w:r>
      <w:r w:rsidRPr="00AB7DF9">
        <w:rPr>
          <w:rFonts w:ascii="Arial" w:hAnsi="Arial" w:cs="Arial"/>
          <w:bCs/>
          <w:lang w:val="es-AR" w:eastAsia="es-ES"/>
        </w:rPr>
        <w:t>pretende realizar un nuev</w:t>
      </w:r>
      <w:r>
        <w:rPr>
          <w:rFonts w:ascii="Arial" w:hAnsi="Arial" w:cs="Arial"/>
          <w:bCs/>
          <w:lang w:val="es-AR" w:eastAsia="es-ES"/>
        </w:rPr>
        <w:t>o</w:t>
      </w:r>
      <w:r w:rsidRPr="00AB7DF9">
        <w:rPr>
          <w:rFonts w:ascii="Arial" w:hAnsi="Arial" w:cs="Arial"/>
          <w:bCs/>
          <w:lang w:val="es-AR" w:eastAsia="es-ES"/>
        </w:rPr>
        <w:t xml:space="preserve"> EIA, que es lo que parece derivarse de los informes periciales</w:t>
      </w:r>
      <w:r>
        <w:rPr>
          <w:rFonts w:ascii="Arial" w:hAnsi="Arial" w:cs="Arial"/>
          <w:bCs/>
          <w:lang w:val="es-AR" w:eastAsia="es-ES"/>
        </w:rPr>
        <w:t xml:space="preserve"> </w:t>
      </w:r>
      <w:r w:rsidRPr="00AB7DF9">
        <w:rPr>
          <w:rFonts w:ascii="Arial" w:hAnsi="Arial" w:cs="Arial"/>
          <w:bCs/>
          <w:lang w:val="es-AR" w:eastAsia="es-ES"/>
        </w:rPr>
        <w:t>aportados, por sus continuas referencias a análisis efectuados en periodos temporales muy posteriores a</w:t>
      </w:r>
      <w:r>
        <w:rPr>
          <w:rFonts w:ascii="Arial" w:hAnsi="Arial" w:cs="Arial"/>
          <w:bCs/>
          <w:lang w:val="es-AR" w:eastAsia="es-ES"/>
        </w:rPr>
        <w:t xml:space="preserve"> </w:t>
      </w:r>
      <w:r w:rsidRPr="00AB7DF9">
        <w:rPr>
          <w:rFonts w:ascii="Arial" w:hAnsi="Arial" w:cs="Arial"/>
          <w:bCs/>
          <w:lang w:val="es-AR" w:eastAsia="es-ES"/>
        </w:rPr>
        <w:t>2008, lo que debería haber hecho la recurrente era presentar una nueva solicitud, y elaborar un EIA actualizad</w:t>
      </w:r>
      <w:r>
        <w:rPr>
          <w:rFonts w:ascii="Arial" w:hAnsi="Arial" w:cs="Arial"/>
          <w:bCs/>
          <w:lang w:val="es-AR" w:eastAsia="es-ES"/>
        </w:rPr>
        <w:t xml:space="preserve">o </w:t>
      </w:r>
      <w:r w:rsidRPr="00AB7DF9">
        <w:rPr>
          <w:rFonts w:ascii="Arial" w:hAnsi="Arial" w:cs="Arial"/>
          <w:bCs/>
          <w:lang w:val="es-AR" w:eastAsia="es-ES"/>
        </w:rPr>
        <w:t>para someterl</w:t>
      </w:r>
      <w:r>
        <w:rPr>
          <w:rFonts w:ascii="Arial" w:hAnsi="Arial" w:cs="Arial"/>
          <w:bCs/>
          <w:lang w:val="es-AR" w:eastAsia="es-ES"/>
        </w:rPr>
        <w:t>o</w:t>
      </w:r>
      <w:r w:rsidRPr="00AB7DF9">
        <w:rPr>
          <w:rFonts w:ascii="Arial" w:hAnsi="Arial" w:cs="Arial"/>
          <w:bCs/>
          <w:lang w:val="es-AR" w:eastAsia="es-ES"/>
        </w:rPr>
        <w:t xml:space="preserve"> al procedimiento previsto</w:t>
      </w:r>
      <w:r>
        <w:rPr>
          <w:rFonts w:ascii="Arial" w:hAnsi="Arial" w:cs="Arial"/>
          <w:bCs/>
          <w:lang w:val="es-AR" w:eastAsia="es-ES"/>
        </w:rPr>
        <w:t xml:space="preserve"> actualmente (Fundamento de Derecho cuarto)</w:t>
      </w:r>
      <w:r w:rsidRPr="00AB7DF9">
        <w:rPr>
          <w:rFonts w:ascii="Arial" w:hAnsi="Arial" w:cs="Arial"/>
          <w:bCs/>
          <w:lang w:val="es-AR" w:eastAsia="es-ES"/>
        </w:rPr>
        <w:t>.</w:t>
      </w:r>
      <w:r>
        <w:rPr>
          <w:rFonts w:ascii="Arial" w:hAnsi="Arial" w:cs="Arial"/>
          <w:bCs/>
          <w:lang w:val="es-AR" w:eastAsia="es-ES"/>
        </w:rPr>
        <w:t xml:space="preserve"> </w:t>
      </w:r>
    </w:p>
    <w:p w14:paraId="69ECE4E6" w14:textId="77777777" w:rsidR="005733EE" w:rsidRDefault="005733EE" w:rsidP="005733EE">
      <w:pPr>
        <w:rPr>
          <w:rFonts w:ascii="Arial" w:hAnsi="Arial" w:cs="Arial"/>
          <w:bCs/>
          <w:lang w:val="es-AR" w:eastAsia="es-ES"/>
        </w:rPr>
      </w:pPr>
      <w:r>
        <w:rPr>
          <w:rFonts w:ascii="Arial" w:hAnsi="Arial" w:cs="Arial"/>
          <w:bCs/>
          <w:lang w:val="es-AR" w:eastAsia="es-ES"/>
        </w:rPr>
        <w:t xml:space="preserve">Finalmente, el STJA analiza los informes periciales desde la sana crítica para concluir que </w:t>
      </w:r>
      <w:r w:rsidRPr="00AB7DF9">
        <w:rPr>
          <w:rFonts w:ascii="Arial" w:hAnsi="Arial" w:cs="Arial"/>
          <w:bCs/>
          <w:lang w:val="es-AR" w:eastAsia="es-ES"/>
        </w:rPr>
        <w:t>niega</w:t>
      </w:r>
      <w:r>
        <w:rPr>
          <w:rFonts w:ascii="Arial" w:hAnsi="Arial" w:cs="Arial"/>
          <w:bCs/>
          <w:lang w:val="es-AR" w:eastAsia="es-ES"/>
        </w:rPr>
        <w:t>n</w:t>
      </w:r>
      <w:r w:rsidRPr="00AB7DF9">
        <w:rPr>
          <w:rFonts w:ascii="Arial" w:hAnsi="Arial" w:cs="Arial"/>
          <w:bCs/>
          <w:lang w:val="es-AR" w:eastAsia="es-ES"/>
        </w:rPr>
        <w:t xml:space="preserve"> un impacto trascendente en los taxones de hábitat fluvial </w:t>
      </w:r>
      <w:r>
        <w:rPr>
          <w:rFonts w:ascii="Arial" w:hAnsi="Arial" w:cs="Arial"/>
          <w:bCs/>
          <w:lang w:val="es-AR" w:eastAsia="es-ES"/>
        </w:rPr>
        <w:t>“</w:t>
      </w:r>
      <w:r w:rsidRPr="00AB7DF9">
        <w:rPr>
          <w:rFonts w:ascii="Arial" w:hAnsi="Arial" w:cs="Arial"/>
          <w:bCs/>
          <w:lang w:val="es-AR" w:eastAsia="es-ES"/>
        </w:rPr>
        <w:t>mientras se</w:t>
      </w:r>
      <w:r>
        <w:rPr>
          <w:rFonts w:ascii="Arial" w:hAnsi="Arial" w:cs="Arial"/>
          <w:bCs/>
          <w:lang w:val="es-AR" w:eastAsia="es-ES"/>
        </w:rPr>
        <w:t xml:space="preserve"> </w:t>
      </w:r>
      <w:r w:rsidRPr="00AB7DF9">
        <w:rPr>
          <w:rFonts w:ascii="Arial" w:hAnsi="Arial" w:cs="Arial"/>
          <w:bCs/>
          <w:lang w:val="es-AR" w:eastAsia="es-ES"/>
        </w:rPr>
        <w:t>respeten los caudales ecológicos</w:t>
      </w:r>
      <w:r>
        <w:rPr>
          <w:rFonts w:ascii="Arial" w:hAnsi="Arial" w:cs="Arial"/>
          <w:bCs/>
          <w:lang w:val="es-AR" w:eastAsia="es-ES"/>
        </w:rPr>
        <w:t>”. Esto no hace sino evidenciar la importancia de esos caudales, sobre los que el EIA no contenía garantías</w:t>
      </w:r>
      <w:r>
        <w:rPr>
          <w:rStyle w:val="Refdenotaalpie"/>
          <w:bCs/>
          <w:lang w:val="es-AR" w:eastAsia="es-ES"/>
        </w:rPr>
        <w:footnoteReference w:id="6"/>
      </w:r>
      <w:r>
        <w:rPr>
          <w:rFonts w:ascii="Arial" w:hAnsi="Arial" w:cs="Arial"/>
          <w:bCs/>
          <w:lang w:val="es-AR" w:eastAsia="es-ES"/>
        </w:rPr>
        <w:t xml:space="preserve"> y por eso, entre otras cosas</w:t>
      </w:r>
      <w:r>
        <w:rPr>
          <w:rStyle w:val="Refdenotaalpie"/>
          <w:bCs/>
          <w:lang w:val="es-AR" w:eastAsia="es-ES"/>
        </w:rPr>
        <w:footnoteReference w:id="7"/>
      </w:r>
      <w:r>
        <w:rPr>
          <w:rFonts w:ascii="Arial" w:hAnsi="Arial" w:cs="Arial"/>
          <w:bCs/>
          <w:lang w:val="es-AR" w:eastAsia="es-ES"/>
        </w:rPr>
        <w:t>, la DIA fue negativa.</w:t>
      </w:r>
    </w:p>
    <w:p w14:paraId="53E903A1" w14:textId="0170E2A1" w:rsidR="005733EE" w:rsidRDefault="005733EE" w:rsidP="005733EE">
      <w:pPr>
        <w:rPr>
          <w:rFonts w:ascii="Arial" w:hAnsi="Arial" w:cs="Arial"/>
          <w:bCs/>
          <w:lang w:val="es-AR" w:eastAsia="es-ES"/>
        </w:rPr>
      </w:pPr>
      <w:r>
        <w:rPr>
          <w:rFonts w:ascii="Arial" w:hAnsi="Arial" w:cs="Arial"/>
          <w:bCs/>
          <w:lang w:val="es-AR" w:eastAsia="es-ES"/>
        </w:rPr>
        <w:t xml:space="preserve">Y por todo ello desestima el recurso, sin </w:t>
      </w:r>
      <w:r w:rsidRPr="00AE6462">
        <w:rPr>
          <w:rFonts w:ascii="Arial" w:hAnsi="Arial" w:cs="Arial"/>
          <w:bCs/>
          <w:lang w:val="es-AR" w:eastAsia="es-ES"/>
        </w:rPr>
        <w:t>expresa imposición</w:t>
      </w:r>
      <w:r>
        <w:rPr>
          <w:rFonts w:ascii="Arial" w:hAnsi="Arial" w:cs="Arial"/>
          <w:bCs/>
          <w:lang w:val="es-AR" w:eastAsia="es-ES"/>
        </w:rPr>
        <w:t xml:space="preserve"> de costas en atención a </w:t>
      </w:r>
      <w:r w:rsidRPr="002866D2">
        <w:rPr>
          <w:rFonts w:ascii="Arial" w:hAnsi="Arial" w:cs="Arial"/>
          <w:bCs/>
          <w:lang w:val="es-AR" w:eastAsia="es-ES"/>
        </w:rPr>
        <w:t>la complejidad de las cuestiones debatidas, y las dudas que de esta</w:t>
      </w:r>
      <w:r>
        <w:rPr>
          <w:rFonts w:ascii="Arial" w:hAnsi="Arial" w:cs="Arial"/>
          <w:bCs/>
          <w:lang w:val="es-AR" w:eastAsia="es-ES"/>
        </w:rPr>
        <w:t>s</w:t>
      </w:r>
      <w:r w:rsidRPr="002866D2">
        <w:rPr>
          <w:rFonts w:ascii="Arial" w:hAnsi="Arial" w:cs="Arial"/>
          <w:bCs/>
          <w:lang w:val="es-AR" w:eastAsia="es-ES"/>
        </w:rPr>
        <w:t xml:space="preserve"> surgen</w:t>
      </w:r>
      <w:r>
        <w:rPr>
          <w:rFonts w:ascii="Arial" w:hAnsi="Arial" w:cs="Arial"/>
          <w:bCs/>
          <w:lang w:val="es-AR" w:eastAsia="es-ES"/>
        </w:rPr>
        <w:t>.</w:t>
      </w:r>
    </w:p>
    <w:p w14:paraId="62B2E5CC" w14:textId="11B23785" w:rsidR="005733EE" w:rsidRPr="005733EE" w:rsidRDefault="005733EE" w:rsidP="005733EE">
      <w:pPr>
        <w:rPr>
          <w:rFonts w:ascii="Arial" w:hAnsi="Arial" w:cs="Arial"/>
          <w:b/>
          <w:lang w:val="es-ES_tradnl" w:eastAsia="ja-JP"/>
        </w:rPr>
      </w:pPr>
      <w:r>
        <w:rPr>
          <w:rFonts w:ascii="Arial" w:hAnsi="Arial" w:cs="Arial"/>
          <w:b/>
          <w:lang w:val="es-AR" w:eastAsia="es-ES"/>
        </w:rPr>
        <w:t xml:space="preserve">5. </w:t>
      </w:r>
      <w:r w:rsidR="00F72AC2">
        <w:rPr>
          <w:rFonts w:ascii="Arial" w:hAnsi="Arial" w:cs="Arial"/>
          <w:b/>
          <w:lang w:val="es-AR" w:eastAsia="es-ES"/>
        </w:rPr>
        <w:t>LA</w:t>
      </w:r>
      <w:r w:rsidR="00F72AC2" w:rsidRPr="00F72AC2">
        <w:rPr>
          <w:rFonts w:ascii="Arial" w:hAnsi="Arial" w:cs="Arial"/>
          <w:b/>
          <w:lang w:val="es-AR" w:eastAsia="es-ES"/>
        </w:rPr>
        <w:t xml:space="preserve"> </w:t>
      </w:r>
      <w:r w:rsidR="00F72AC2">
        <w:rPr>
          <w:rFonts w:ascii="Arial" w:hAnsi="Arial" w:cs="Arial"/>
          <w:b/>
          <w:lang w:val="es-AR" w:eastAsia="es-ES"/>
        </w:rPr>
        <w:t>CAZA Y LA PANDEMIA</w:t>
      </w:r>
    </w:p>
    <w:p w14:paraId="34C1AB8D" w14:textId="4454AA79" w:rsidR="00A1224D" w:rsidRDefault="00A1224D" w:rsidP="00A1224D">
      <w:pPr>
        <w:rPr>
          <w:rFonts w:ascii="Arial" w:hAnsi="Arial" w:cs="Arial"/>
          <w:bCs/>
          <w:lang w:val="es-AR" w:eastAsia="es-ES"/>
        </w:rPr>
      </w:pPr>
      <w:r>
        <w:rPr>
          <w:rFonts w:ascii="Arial" w:hAnsi="Arial" w:cs="Arial"/>
          <w:bCs/>
          <w:lang w:val="es-AR" w:eastAsia="es-ES"/>
        </w:rPr>
        <w:t xml:space="preserve">Para cerrar esta entrega se hará mención a la sentencia 294/2022, de 1 de abril, fecha en la que oficialmente se abre el período que cubre esta crónica, por la que se resuelve el recurso núm. 771/2020 presentado por el </w:t>
      </w:r>
      <w:r w:rsidRPr="002D3D3D">
        <w:rPr>
          <w:rFonts w:ascii="Arial" w:hAnsi="Arial" w:cs="Arial"/>
          <w:bCs/>
          <w:lang w:val="es-AR" w:eastAsia="es-ES"/>
        </w:rPr>
        <w:t xml:space="preserve">Fondo para </w:t>
      </w:r>
      <w:r w:rsidRPr="002D3D3D">
        <w:rPr>
          <w:rFonts w:ascii="Arial" w:hAnsi="Arial" w:cs="Arial"/>
          <w:bCs/>
          <w:lang w:val="es-AR" w:eastAsia="es-ES"/>
        </w:rPr>
        <w:lastRenderedPageBreak/>
        <w:t>la Protección de los Animales Salvajes (FAPAS) contra la Circular, de 23 de octubre de 2020, de la Consejería de Medio Rural y Cohesión</w:t>
      </w:r>
      <w:r>
        <w:rPr>
          <w:rFonts w:ascii="Arial" w:hAnsi="Arial" w:cs="Arial"/>
          <w:bCs/>
          <w:lang w:val="es-AR" w:eastAsia="es-ES"/>
        </w:rPr>
        <w:t xml:space="preserve"> </w:t>
      </w:r>
      <w:r w:rsidRPr="002D3D3D">
        <w:rPr>
          <w:rFonts w:ascii="Arial" w:hAnsi="Arial" w:cs="Arial"/>
          <w:bCs/>
          <w:lang w:val="es-AR" w:eastAsia="es-ES"/>
        </w:rPr>
        <w:t>Territorial del Principado de Asturias sobre continuación de actividad cinegética bajo la vigencia de las medidas</w:t>
      </w:r>
      <w:r>
        <w:rPr>
          <w:rFonts w:ascii="Arial" w:hAnsi="Arial" w:cs="Arial"/>
          <w:bCs/>
          <w:lang w:val="es-AR" w:eastAsia="es-ES"/>
        </w:rPr>
        <w:t xml:space="preserve"> </w:t>
      </w:r>
      <w:r w:rsidRPr="002D3D3D">
        <w:rPr>
          <w:rFonts w:ascii="Arial" w:hAnsi="Arial" w:cs="Arial"/>
          <w:bCs/>
          <w:lang w:val="es-AR" w:eastAsia="es-ES"/>
        </w:rPr>
        <w:t>urgentes motivadas por la crisis sanitaria ocasionada por el Covid-19.</w:t>
      </w:r>
    </w:p>
    <w:p w14:paraId="04DF00BD" w14:textId="77777777" w:rsidR="00A1224D" w:rsidRDefault="00A1224D" w:rsidP="00A1224D">
      <w:pPr>
        <w:rPr>
          <w:rFonts w:ascii="Arial" w:hAnsi="Arial" w:cs="Arial"/>
          <w:bCs/>
          <w:lang w:val="es-AR" w:eastAsia="es-ES"/>
        </w:rPr>
      </w:pPr>
      <w:r w:rsidRPr="002D3D3D">
        <w:rPr>
          <w:rFonts w:ascii="Arial" w:hAnsi="Arial" w:cs="Arial"/>
          <w:bCs/>
          <w:lang w:val="es-AR" w:eastAsia="es-ES"/>
        </w:rPr>
        <w:t xml:space="preserve">La parte actora considera que la Circular tiene naturaleza normativa con efectos </w:t>
      </w:r>
      <w:r w:rsidRPr="002D3D3D">
        <w:rPr>
          <w:rFonts w:ascii="Arial" w:hAnsi="Arial" w:cs="Arial"/>
          <w:bCs/>
          <w:i/>
          <w:iCs/>
          <w:lang w:val="es-AR" w:eastAsia="es-ES"/>
        </w:rPr>
        <w:t>ad extra</w:t>
      </w:r>
      <w:r w:rsidRPr="002D3D3D">
        <w:rPr>
          <w:rFonts w:ascii="Arial" w:hAnsi="Arial" w:cs="Arial"/>
          <w:bCs/>
          <w:lang w:val="es-AR" w:eastAsia="es-ES"/>
        </w:rPr>
        <w:t xml:space="preserve"> al</w:t>
      </w:r>
      <w:r>
        <w:rPr>
          <w:rFonts w:ascii="Arial" w:hAnsi="Arial" w:cs="Arial"/>
          <w:bCs/>
          <w:lang w:val="es-AR" w:eastAsia="es-ES"/>
        </w:rPr>
        <w:t xml:space="preserve"> </w:t>
      </w:r>
      <w:r w:rsidRPr="002D3D3D">
        <w:rPr>
          <w:rFonts w:ascii="Arial" w:hAnsi="Arial" w:cs="Arial"/>
          <w:bCs/>
          <w:lang w:val="es-AR" w:eastAsia="es-ES"/>
        </w:rPr>
        <w:t>equiparar la actividad cinegética con actividades esenciales y considerar que forma parte de la cadena</w:t>
      </w:r>
      <w:r>
        <w:rPr>
          <w:rFonts w:ascii="Arial" w:hAnsi="Arial" w:cs="Arial"/>
          <w:bCs/>
          <w:lang w:val="es-AR" w:eastAsia="es-ES"/>
        </w:rPr>
        <w:t xml:space="preserve"> </w:t>
      </w:r>
      <w:r w:rsidRPr="002D3D3D">
        <w:rPr>
          <w:rFonts w:ascii="Arial" w:hAnsi="Arial" w:cs="Arial"/>
          <w:bCs/>
          <w:lang w:val="es-AR" w:eastAsia="es-ES"/>
        </w:rPr>
        <w:t>agroalimentaria, al introducir nuevas excepciones no previstas en las normas de limitación de la movilidad por</w:t>
      </w:r>
      <w:r>
        <w:rPr>
          <w:rFonts w:ascii="Arial" w:hAnsi="Arial" w:cs="Arial"/>
          <w:bCs/>
          <w:lang w:val="es-AR" w:eastAsia="es-ES"/>
        </w:rPr>
        <w:t xml:space="preserve"> </w:t>
      </w:r>
      <w:r w:rsidRPr="002D3D3D">
        <w:rPr>
          <w:rFonts w:ascii="Arial" w:hAnsi="Arial" w:cs="Arial"/>
          <w:bCs/>
          <w:lang w:val="es-AR" w:eastAsia="es-ES"/>
        </w:rPr>
        <w:t>el Covid-19 y al tener incidencia para los cazadores que podrán ejercer la actividad cinegética con normalidad.</w:t>
      </w:r>
      <w:r>
        <w:rPr>
          <w:rFonts w:ascii="Arial" w:hAnsi="Arial" w:cs="Arial"/>
          <w:bCs/>
          <w:lang w:val="es-AR" w:eastAsia="es-ES"/>
        </w:rPr>
        <w:t xml:space="preserve"> De ser así,</w:t>
      </w:r>
      <w:r w:rsidRPr="002D3D3D">
        <w:rPr>
          <w:rFonts w:ascii="Arial" w:hAnsi="Arial" w:cs="Arial"/>
          <w:bCs/>
          <w:lang w:val="es-AR" w:eastAsia="es-ES"/>
        </w:rPr>
        <w:t xml:space="preserve"> la Circular ha</w:t>
      </w:r>
      <w:r>
        <w:rPr>
          <w:rFonts w:ascii="Arial" w:hAnsi="Arial" w:cs="Arial"/>
          <w:bCs/>
          <w:lang w:val="es-AR" w:eastAsia="es-ES"/>
        </w:rPr>
        <w:t>bría</w:t>
      </w:r>
      <w:r w:rsidRPr="002D3D3D">
        <w:rPr>
          <w:rFonts w:ascii="Arial" w:hAnsi="Arial" w:cs="Arial"/>
          <w:bCs/>
          <w:lang w:val="es-AR" w:eastAsia="es-ES"/>
        </w:rPr>
        <w:t xml:space="preserve"> sido dictada prescindiendo total y absolutamente del procedimiento establecido</w:t>
      </w:r>
      <w:r>
        <w:rPr>
          <w:rFonts w:ascii="Arial" w:hAnsi="Arial" w:cs="Arial"/>
          <w:bCs/>
          <w:lang w:val="es-AR" w:eastAsia="es-ES"/>
        </w:rPr>
        <w:t xml:space="preserve"> </w:t>
      </w:r>
      <w:r w:rsidRPr="002D3D3D">
        <w:rPr>
          <w:rFonts w:ascii="Arial" w:hAnsi="Arial" w:cs="Arial"/>
          <w:bCs/>
          <w:lang w:val="es-AR" w:eastAsia="es-ES"/>
        </w:rPr>
        <w:t>de elaboración de disposiciones de carácter general</w:t>
      </w:r>
      <w:r>
        <w:rPr>
          <w:rFonts w:ascii="Arial" w:hAnsi="Arial" w:cs="Arial"/>
          <w:bCs/>
          <w:lang w:val="es-AR" w:eastAsia="es-ES"/>
        </w:rPr>
        <w:t xml:space="preserve">, pues carece </w:t>
      </w:r>
      <w:r w:rsidRPr="002D3D3D">
        <w:rPr>
          <w:rFonts w:ascii="Arial" w:hAnsi="Arial" w:cs="Arial"/>
          <w:bCs/>
          <w:lang w:val="es-AR" w:eastAsia="es-ES"/>
        </w:rPr>
        <w:t xml:space="preserve">de motivación, </w:t>
      </w:r>
      <w:r>
        <w:rPr>
          <w:rFonts w:ascii="Arial" w:hAnsi="Arial" w:cs="Arial"/>
          <w:bCs/>
          <w:lang w:val="es-AR" w:eastAsia="es-ES"/>
        </w:rPr>
        <w:t>procede de un órgano sin</w:t>
      </w:r>
      <w:r w:rsidRPr="002D3D3D">
        <w:rPr>
          <w:rFonts w:ascii="Arial" w:hAnsi="Arial" w:cs="Arial"/>
          <w:bCs/>
          <w:lang w:val="es-AR" w:eastAsia="es-ES"/>
        </w:rPr>
        <w:t xml:space="preserve"> competencias normativas </w:t>
      </w:r>
      <w:r>
        <w:rPr>
          <w:rFonts w:ascii="Arial" w:hAnsi="Arial" w:cs="Arial"/>
          <w:bCs/>
          <w:lang w:val="es-AR" w:eastAsia="es-ES"/>
        </w:rPr>
        <w:t>(incluso carecería de competencia</w:t>
      </w:r>
      <w:r w:rsidRPr="002D3D3D">
        <w:rPr>
          <w:rFonts w:ascii="Arial" w:hAnsi="Arial" w:cs="Arial"/>
          <w:bCs/>
          <w:lang w:val="es-AR" w:eastAsia="es-ES"/>
        </w:rPr>
        <w:t xml:space="preserve"> para dictar circulares</w:t>
      </w:r>
      <w:r>
        <w:rPr>
          <w:rFonts w:ascii="Arial" w:hAnsi="Arial" w:cs="Arial"/>
          <w:bCs/>
          <w:lang w:val="es-AR" w:eastAsia="es-ES"/>
        </w:rPr>
        <w:t>)</w:t>
      </w:r>
      <w:r w:rsidRPr="002D3D3D">
        <w:rPr>
          <w:rFonts w:ascii="Arial" w:hAnsi="Arial" w:cs="Arial"/>
          <w:bCs/>
          <w:lang w:val="es-AR" w:eastAsia="es-ES"/>
        </w:rPr>
        <w:t xml:space="preserve"> y no ha sido publicada convenientemente.</w:t>
      </w:r>
    </w:p>
    <w:p w14:paraId="7A2C1531" w14:textId="77777777" w:rsidR="00A1224D" w:rsidRDefault="00A1224D" w:rsidP="00A1224D">
      <w:pPr>
        <w:rPr>
          <w:rFonts w:ascii="Arial" w:hAnsi="Arial" w:cs="Arial"/>
          <w:bCs/>
          <w:lang w:val="es-AR" w:eastAsia="es-ES"/>
        </w:rPr>
      </w:pPr>
      <w:r w:rsidRPr="002D3D3D">
        <w:rPr>
          <w:rFonts w:ascii="Arial" w:hAnsi="Arial" w:cs="Arial"/>
          <w:bCs/>
          <w:lang w:val="es-AR" w:eastAsia="es-ES"/>
        </w:rPr>
        <w:t>En el litigio se presentaron distintas partes codemandadas</w:t>
      </w:r>
      <w:r>
        <w:rPr>
          <w:rFonts w:ascii="Arial" w:hAnsi="Arial" w:cs="Arial"/>
          <w:bCs/>
          <w:lang w:val="es-AR" w:eastAsia="es-ES"/>
        </w:rPr>
        <w:t>, entre ellas</w:t>
      </w:r>
      <w:r w:rsidRPr="002D3D3D">
        <w:rPr>
          <w:rFonts w:ascii="Arial" w:hAnsi="Arial" w:cs="Arial"/>
          <w:bCs/>
          <w:lang w:val="es-AR" w:eastAsia="es-ES"/>
        </w:rPr>
        <w:t xml:space="preserve"> COAG-Asturias, la Federación de Caza del Principado</w:t>
      </w:r>
      <w:r>
        <w:rPr>
          <w:rFonts w:ascii="Arial" w:hAnsi="Arial" w:cs="Arial"/>
          <w:bCs/>
          <w:lang w:val="es-AR" w:eastAsia="es-ES"/>
        </w:rPr>
        <w:t xml:space="preserve"> o la Fundación para el Manejo, Desarrollo y Conservación de la Fauna Silvestre y su Hábitat (FADOVISA). Todas se opusieron al recurso, como la Administración autonómica, entendiendo en todo caso que la Circular carecía de naturaleza normativa, siendo meramente informativa, didáctica-interpretativa o equiparable a una orden de servicio. Hubo quien también alegó </w:t>
      </w:r>
      <w:r w:rsidRPr="00E80E27">
        <w:rPr>
          <w:rFonts w:ascii="Arial" w:hAnsi="Arial" w:cs="Arial"/>
          <w:bCs/>
          <w:lang w:val="es-AR" w:eastAsia="es-ES"/>
        </w:rPr>
        <w:t>la falta de legitimación</w:t>
      </w:r>
      <w:r>
        <w:rPr>
          <w:rFonts w:ascii="Arial" w:hAnsi="Arial" w:cs="Arial"/>
          <w:bCs/>
          <w:lang w:val="es-AR" w:eastAsia="es-ES"/>
        </w:rPr>
        <w:t xml:space="preserve"> y</w:t>
      </w:r>
      <w:r w:rsidRPr="00E80E27">
        <w:rPr>
          <w:rFonts w:ascii="Arial" w:hAnsi="Arial" w:cs="Arial"/>
          <w:bCs/>
          <w:lang w:val="es-AR" w:eastAsia="es-ES"/>
        </w:rPr>
        <w:t xml:space="preserve"> la pérdida sobrevenida del objeto al haberse derogado las nor</w:t>
      </w:r>
      <w:r>
        <w:rPr>
          <w:rFonts w:ascii="Arial" w:hAnsi="Arial" w:cs="Arial"/>
          <w:bCs/>
          <w:lang w:val="es-AR" w:eastAsia="es-ES"/>
        </w:rPr>
        <w:t>mas en que se funda la Circular y su propia virtualidad.</w:t>
      </w:r>
    </w:p>
    <w:p w14:paraId="08360465" w14:textId="77777777" w:rsidR="00A1224D" w:rsidRDefault="00A1224D" w:rsidP="00A1224D">
      <w:pPr>
        <w:rPr>
          <w:rFonts w:ascii="Arial" w:hAnsi="Arial" w:cs="Arial"/>
          <w:bCs/>
          <w:lang w:val="es-AR" w:eastAsia="es-ES"/>
        </w:rPr>
      </w:pPr>
      <w:r>
        <w:rPr>
          <w:rFonts w:ascii="Arial" w:hAnsi="Arial" w:cs="Arial"/>
          <w:bCs/>
          <w:lang w:val="es-AR" w:eastAsia="es-ES"/>
        </w:rPr>
        <w:t>La parte demandante solicitó la suspensión cautelar, que fue denegada por A</w:t>
      </w:r>
      <w:r w:rsidRPr="00E80E27">
        <w:rPr>
          <w:rFonts w:ascii="Arial" w:hAnsi="Arial" w:cs="Arial"/>
          <w:bCs/>
          <w:lang w:val="es-AR" w:eastAsia="es-ES"/>
        </w:rPr>
        <w:t xml:space="preserve">uto de 4 de diciembre de 2020, confirmado por </w:t>
      </w:r>
      <w:r>
        <w:rPr>
          <w:rFonts w:ascii="Arial" w:hAnsi="Arial" w:cs="Arial"/>
          <w:bCs/>
          <w:lang w:val="es-AR" w:eastAsia="es-ES"/>
        </w:rPr>
        <w:t>A</w:t>
      </w:r>
      <w:r w:rsidRPr="00E80E27">
        <w:rPr>
          <w:rFonts w:ascii="Arial" w:hAnsi="Arial" w:cs="Arial"/>
          <w:bCs/>
          <w:lang w:val="es-AR" w:eastAsia="es-ES"/>
        </w:rPr>
        <w:t>uto de 12 de febrero de 2021</w:t>
      </w:r>
      <w:r>
        <w:rPr>
          <w:rFonts w:ascii="Arial" w:hAnsi="Arial" w:cs="Arial"/>
          <w:bCs/>
          <w:lang w:val="es-AR" w:eastAsia="es-ES"/>
        </w:rPr>
        <w:t>.</w:t>
      </w:r>
    </w:p>
    <w:p w14:paraId="1B535975" w14:textId="77777777" w:rsidR="00A1224D" w:rsidRDefault="00A1224D" w:rsidP="00A1224D">
      <w:pPr>
        <w:rPr>
          <w:rFonts w:ascii="Arial" w:hAnsi="Arial" w:cs="Arial"/>
          <w:bCs/>
          <w:lang w:val="es-AR" w:eastAsia="es-ES"/>
        </w:rPr>
      </w:pPr>
      <w:r>
        <w:rPr>
          <w:rFonts w:ascii="Arial" w:hAnsi="Arial" w:cs="Arial"/>
          <w:bCs/>
          <w:lang w:val="es-AR" w:eastAsia="es-ES"/>
        </w:rPr>
        <w:t xml:space="preserve">En la sentencia, el TSJA parte de precisar que lo </w:t>
      </w:r>
      <w:r w:rsidRPr="00E80E27">
        <w:rPr>
          <w:rFonts w:ascii="Arial" w:hAnsi="Arial" w:cs="Arial"/>
          <w:bCs/>
          <w:lang w:val="es-AR" w:eastAsia="es-ES"/>
        </w:rPr>
        <w:t>que pretende la</w:t>
      </w:r>
      <w:r>
        <w:rPr>
          <w:rFonts w:ascii="Arial" w:hAnsi="Arial" w:cs="Arial"/>
          <w:bCs/>
          <w:lang w:val="es-AR" w:eastAsia="es-ES"/>
        </w:rPr>
        <w:t xml:space="preserve"> autodenominada</w:t>
      </w:r>
      <w:r w:rsidRPr="00E80E27">
        <w:rPr>
          <w:rFonts w:ascii="Arial" w:hAnsi="Arial" w:cs="Arial"/>
          <w:bCs/>
          <w:lang w:val="es-AR" w:eastAsia="es-ES"/>
        </w:rPr>
        <w:t xml:space="preserve"> Circular es interpretar que la actividad cinegética es una de las actividades</w:t>
      </w:r>
      <w:r>
        <w:rPr>
          <w:rFonts w:ascii="Arial" w:hAnsi="Arial" w:cs="Arial"/>
          <w:bCs/>
          <w:lang w:val="es-AR" w:eastAsia="es-ES"/>
        </w:rPr>
        <w:t xml:space="preserve"> </w:t>
      </w:r>
      <w:r w:rsidRPr="00E80E27">
        <w:rPr>
          <w:rFonts w:ascii="Arial" w:hAnsi="Arial" w:cs="Arial"/>
          <w:bCs/>
          <w:lang w:val="es-AR" w:eastAsia="es-ES"/>
        </w:rPr>
        <w:t xml:space="preserve">esenciales a los efectos de justificar la exclusión del cumplimiento de la obligación de confinamiento a que </w:t>
      </w:r>
      <w:r>
        <w:rPr>
          <w:rFonts w:ascii="Arial" w:hAnsi="Arial" w:cs="Arial"/>
          <w:bCs/>
          <w:lang w:val="es-AR" w:eastAsia="es-ES"/>
        </w:rPr>
        <w:t xml:space="preserve">estaban </w:t>
      </w:r>
      <w:r w:rsidRPr="00E80E27">
        <w:rPr>
          <w:rFonts w:ascii="Arial" w:hAnsi="Arial" w:cs="Arial"/>
          <w:bCs/>
          <w:lang w:val="es-AR" w:eastAsia="es-ES"/>
        </w:rPr>
        <w:t>somet</w:t>
      </w:r>
      <w:r>
        <w:rPr>
          <w:rFonts w:ascii="Arial" w:hAnsi="Arial" w:cs="Arial"/>
          <w:bCs/>
          <w:lang w:val="es-AR" w:eastAsia="es-ES"/>
        </w:rPr>
        <w:t>idos</w:t>
      </w:r>
      <w:r w:rsidRPr="00E80E27">
        <w:rPr>
          <w:rFonts w:ascii="Arial" w:hAnsi="Arial" w:cs="Arial"/>
          <w:bCs/>
          <w:lang w:val="es-AR" w:eastAsia="es-ES"/>
        </w:rPr>
        <w:t xml:space="preserve"> los tres concejos asturianos de Oviedo, Gijón y Avilés durante un período temporal </w:t>
      </w:r>
      <w:r w:rsidRPr="00E80E27">
        <w:rPr>
          <w:rFonts w:ascii="Arial" w:hAnsi="Arial" w:cs="Arial"/>
          <w:bCs/>
          <w:lang w:val="es-AR" w:eastAsia="es-ES"/>
        </w:rPr>
        <w:lastRenderedPageBreak/>
        <w:t>muy determinado</w:t>
      </w:r>
      <w:r>
        <w:rPr>
          <w:rFonts w:ascii="Arial" w:hAnsi="Arial" w:cs="Arial"/>
          <w:bCs/>
          <w:lang w:val="es-AR" w:eastAsia="es-ES"/>
        </w:rPr>
        <w:t xml:space="preserve"> </w:t>
      </w:r>
      <w:r w:rsidRPr="00E80E27">
        <w:rPr>
          <w:rFonts w:ascii="Arial" w:hAnsi="Arial" w:cs="Arial"/>
          <w:bCs/>
          <w:lang w:val="es-AR" w:eastAsia="es-ES"/>
        </w:rPr>
        <w:t>y debido a las medidas sanitarias adoptadas</w:t>
      </w:r>
      <w:r>
        <w:rPr>
          <w:rFonts w:ascii="Arial" w:hAnsi="Arial" w:cs="Arial"/>
          <w:bCs/>
          <w:lang w:val="es-AR" w:eastAsia="es-ES"/>
        </w:rPr>
        <w:t xml:space="preserve"> (</w:t>
      </w:r>
      <w:r w:rsidRPr="005A0BD6">
        <w:rPr>
          <w:rFonts w:ascii="Arial" w:hAnsi="Arial" w:cs="Arial"/>
          <w:bCs/>
          <w:lang w:val="es-AR" w:eastAsia="es-ES"/>
        </w:rPr>
        <w:t>Resolución de 23 de octubre de</w:t>
      </w:r>
      <w:r>
        <w:rPr>
          <w:rFonts w:ascii="Arial" w:hAnsi="Arial" w:cs="Arial"/>
          <w:bCs/>
          <w:lang w:val="es-AR" w:eastAsia="es-ES"/>
        </w:rPr>
        <w:t xml:space="preserve"> </w:t>
      </w:r>
      <w:r w:rsidRPr="005A0BD6">
        <w:rPr>
          <w:rFonts w:ascii="Arial" w:hAnsi="Arial" w:cs="Arial"/>
          <w:bCs/>
          <w:lang w:val="es-AR" w:eastAsia="es-ES"/>
        </w:rPr>
        <w:t>20</w:t>
      </w:r>
      <w:r>
        <w:rPr>
          <w:rFonts w:ascii="Arial" w:hAnsi="Arial" w:cs="Arial"/>
          <w:bCs/>
          <w:lang w:val="es-AR" w:eastAsia="es-ES"/>
        </w:rPr>
        <w:t>2</w:t>
      </w:r>
      <w:r w:rsidRPr="005A0BD6">
        <w:rPr>
          <w:rFonts w:ascii="Arial" w:hAnsi="Arial" w:cs="Arial"/>
          <w:bCs/>
          <w:lang w:val="es-AR" w:eastAsia="es-ES"/>
        </w:rPr>
        <w:t>0 de la Consejería de Salud</w:t>
      </w:r>
      <w:r>
        <w:rPr>
          <w:rFonts w:ascii="Arial" w:hAnsi="Arial" w:cs="Arial"/>
          <w:bCs/>
          <w:lang w:val="es-AR" w:eastAsia="es-ES"/>
        </w:rPr>
        <w:t>)</w:t>
      </w:r>
      <w:r w:rsidRPr="005A0BD6">
        <w:rPr>
          <w:rFonts w:ascii="Arial" w:hAnsi="Arial" w:cs="Arial"/>
          <w:bCs/>
          <w:lang w:val="es-AR" w:eastAsia="es-ES"/>
        </w:rPr>
        <w:t>. En esta disposición general se restring</w:t>
      </w:r>
      <w:r>
        <w:rPr>
          <w:rFonts w:ascii="Arial" w:hAnsi="Arial" w:cs="Arial"/>
          <w:bCs/>
          <w:lang w:val="es-AR" w:eastAsia="es-ES"/>
        </w:rPr>
        <w:t>ía</w:t>
      </w:r>
      <w:r w:rsidRPr="005A0BD6">
        <w:rPr>
          <w:rFonts w:ascii="Arial" w:hAnsi="Arial" w:cs="Arial"/>
          <w:bCs/>
          <w:lang w:val="es-AR" w:eastAsia="es-ES"/>
        </w:rPr>
        <w:t xml:space="preserve"> la movilidad</w:t>
      </w:r>
      <w:r>
        <w:rPr>
          <w:rFonts w:ascii="Arial" w:hAnsi="Arial" w:cs="Arial"/>
          <w:bCs/>
          <w:lang w:val="es-AR" w:eastAsia="es-ES"/>
        </w:rPr>
        <w:t xml:space="preserve"> salvo para actividades</w:t>
      </w:r>
      <w:r w:rsidRPr="005A0BD6">
        <w:rPr>
          <w:rFonts w:ascii="Arial" w:hAnsi="Arial" w:cs="Arial"/>
          <w:bCs/>
          <w:lang w:val="es-AR" w:eastAsia="es-ES"/>
        </w:rPr>
        <w:t xml:space="preserve"> de trabajo, actividades sanitarias, docentes, asistenciales, financieras y de seguros</w:t>
      </w:r>
      <w:r>
        <w:rPr>
          <w:rFonts w:ascii="Arial" w:hAnsi="Arial" w:cs="Arial"/>
          <w:bCs/>
          <w:lang w:val="es-AR" w:eastAsia="es-ES"/>
        </w:rPr>
        <w:t xml:space="preserve">… </w:t>
      </w:r>
      <w:r w:rsidRPr="005A0BD6">
        <w:rPr>
          <w:rFonts w:ascii="Arial" w:hAnsi="Arial" w:cs="Arial"/>
          <w:bCs/>
          <w:lang w:val="es-AR" w:eastAsia="es-ES"/>
        </w:rPr>
        <w:t xml:space="preserve">así como </w:t>
      </w:r>
      <w:r>
        <w:rPr>
          <w:rFonts w:ascii="Arial" w:hAnsi="Arial" w:cs="Arial"/>
          <w:bCs/>
          <w:lang w:val="es-AR" w:eastAsia="es-ES"/>
        </w:rPr>
        <w:t>“</w:t>
      </w:r>
      <w:r w:rsidRPr="005A0BD6">
        <w:rPr>
          <w:rFonts w:ascii="Arial" w:hAnsi="Arial" w:cs="Arial"/>
          <w:bCs/>
          <w:lang w:val="es-AR" w:eastAsia="es-ES"/>
        </w:rPr>
        <w:t>cualquier otra actividad de análoga naturaleza, debidamente acreditada</w:t>
      </w:r>
      <w:r>
        <w:rPr>
          <w:rFonts w:ascii="Arial" w:hAnsi="Arial" w:cs="Arial"/>
          <w:bCs/>
          <w:lang w:val="es-AR" w:eastAsia="es-ES"/>
        </w:rPr>
        <w:t>”</w:t>
      </w:r>
      <w:r w:rsidRPr="005A0BD6">
        <w:rPr>
          <w:rFonts w:ascii="Arial" w:hAnsi="Arial" w:cs="Arial"/>
          <w:bCs/>
          <w:lang w:val="es-AR" w:eastAsia="es-ES"/>
        </w:rPr>
        <w:t>.</w:t>
      </w:r>
      <w:r>
        <w:rPr>
          <w:rFonts w:ascii="Arial" w:hAnsi="Arial" w:cs="Arial"/>
          <w:bCs/>
          <w:lang w:val="es-AR" w:eastAsia="es-ES"/>
        </w:rPr>
        <w:t xml:space="preserve"> Para el TSJA </w:t>
      </w:r>
      <w:r w:rsidRPr="005A0BD6">
        <w:rPr>
          <w:rFonts w:ascii="Arial" w:hAnsi="Arial" w:cs="Arial"/>
          <w:bCs/>
          <w:lang w:val="es-AR" w:eastAsia="es-ES"/>
        </w:rPr>
        <w:t>la referida Circular</w:t>
      </w:r>
      <w:r>
        <w:rPr>
          <w:rFonts w:ascii="Arial" w:hAnsi="Arial" w:cs="Arial"/>
          <w:bCs/>
          <w:lang w:val="es-AR" w:eastAsia="es-ES"/>
        </w:rPr>
        <w:t xml:space="preserve">, que </w:t>
      </w:r>
      <w:r w:rsidRPr="005A0BD6">
        <w:rPr>
          <w:rFonts w:ascii="Arial" w:hAnsi="Arial" w:cs="Arial"/>
          <w:bCs/>
          <w:lang w:val="es-AR" w:eastAsia="es-ES"/>
        </w:rPr>
        <w:t>incluye en esta otra actividad de análoga naturaleza, debidamente</w:t>
      </w:r>
      <w:r>
        <w:rPr>
          <w:rFonts w:ascii="Arial" w:hAnsi="Arial" w:cs="Arial"/>
          <w:bCs/>
          <w:lang w:val="es-AR" w:eastAsia="es-ES"/>
        </w:rPr>
        <w:t xml:space="preserve"> </w:t>
      </w:r>
      <w:r w:rsidRPr="005A0BD6">
        <w:rPr>
          <w:rFonts w:ascii="Arial" w:hAnsi="Arial" w:cs="Arial"/>
          <w:bCs/>
          <w:lang w:val="es-AR" w:eastAsia="es-ES"/>
        </w:rPr>
        <w:t xml:space="preserve">acreditada, la actividad cinegética, </w:t>
      </w:r>
      <w:r>
        <w:rPr>
          <w:rFonts w:ascii="Arial" w:hAnsi="Arial" w:cs="Arial"/>
          <w:bCs/>
          <w:lang w:val="es-AR" w:eastAsia="es-ES"/>
        </w:rPr>
        <w:t xml:space="preserve">tiene una naturaleza que </w:t>
      </w:r>
      <w:r w:rsidRPr="005A0BD6">
        <w:rPr>
          <w:rFonts w:ascii="Arial" w:hAnsi="Arial" w:cs="Arial"/>
          <w:bCs/>
          <w:lang w:val="es-AR" w:eastAsia="es-ES"/>
        </w:rPr>
        <w:t>encaja en lo previsto en el artículo 6 de</w:t>
      </w:r>
      <w:r>
        <w:rPr>
          <w:rFonts w:ascii="Arial" w:hAnsi="Arial" w:cs="Arial"/>
          <w:bCs/>
          <w:lang w:val="es-AR" w:eastAsia="es-ES"/>
        </w:rPr>
        <w:t xml:space="preserve"> </w:t>
      </w:r>
      <w:r w:rsidRPr="005A0BD6">
        <w:rPr>
          <w:rFonts w:ascii="Arial" w:hAnsi="Arial" w:cs="Arial"/>
          <w:bCs/>
          <w:lang w:val="es-AR" w:eastAsia="es-ES"/>
        </w:rPr>
        <w:t xml:space="preserve">la Ley 40/2015, de 1 de octubre, de Régimen Jurídico del Sector Público y, </w:t>
      </w:r>
      <w:r>
        <w:rPr>
          <w:rFonts w:ascii="Arial" w:hAnsi="Arial" w:cs="Arial"/>
          <w:bCs/>
          <w:lang w:val="es-AR" w:eastAsia="es-ES"/>
        </w:rPr>
        <w:t>por ello entiende que</w:t>
      </w:r>
      <w:r w:rsidRPr="005A0BD6">
        <w:rPr>
          <w:rFonts w:ascii="Arial" w:hAnsi="Arial" w:cs="Arial"/>
          <w:bCs/>
          <w:lang w:val="es-AR" w:eastAsia="es-ES"/>
        </w:rPr>
        <w:t xml:space="preserve"> el objeto del recurso contencioso-administrativo es equiparable a una instrucción u orden de servicio</w:t>
      </w:r>
      <w:r>
        <w:rPr>
          <w:rFonts w:ascii="Arial" w:hAnsi="Arial" w:cs="Arial"/>
          <w:bCs/>
          <w:lang w:val="es-AR" w:eastAsia="es-ES"/>
        </w:rPr>
        <w:t xml:space="preserve"> (Fundamento de Derecho sexto). Ello no quiere decir, evidentemente, que su contenido </w:t>
      </w:r>
      <w:r w:rsidRPr="005A0BD6">
        <w:rPr>
          <w:rFonts w:ascii="Arial" w:hAnsi="Arial" w:cs="Arial"/>
          <w:bCs/>
          <w:lang w:val="es-AR" w:eastAsia="es-ES"/>
        </w:rPr>
        <w:t xml:space="preserve">constituya la interpretación más acertada de la normativa aplicable, ni la única posible, </w:t>
      </w:r>
      <w:r>
        <w:rPr>
          <w:rFonts w:ascii="Arial" w:hAnsi="Arial" w:cs="Arial"/>
          <w:bCs/>
          <w:lang w:val="es-AR" w:eastAsia="es-ES"/>
        </w:rPr>
        <w:t>pero</w:t>
      </w:r>
      <w:r w:rsidRPr="005A0BD6">
        <w:rPr>
          <w:rFonts w:ascii="Arial" w:hAnsi="Arial" w:cs="Arial"/>
          <w:bCs/>
          <w:lang w:val="es-AR" w:eastAsia="es-ES"/>
        </w:rPr>
        <w:t xml:space="preserve"> tampoco</w:t>
      </w:r>
      <w:r>
        <w:rPr>
          <w:rFonts w:ascii="Arial" w:hAnsi="Arial" w:cs="Arial"/>
          <w:bCs/>
          <w:lang w:val="es-AR" w:eastAsia="es-ES"/>
        </w:rPr>
        <w:t xml:space="preserve"> lo contrario; só</w:t>
      </w:r>
      <w:r w:rsidRPr="005A0BD6">
        <w:rPr>
          <w:rFonts w:ascii="Arial" w:hAnsi="Arial" w:cs="Arial"/>
          <w:bCs/>
          <w:lang w:val="es-AR" w:eastAsia="es-ES"/>
        </w:rPr>
        <w:t>lo son prescripciones interpretativas de orden interno cuyo ajuste a Derecho deberá ser</w:t>
      </w:r>
      <w:r>
        <w:rPr>
          <w:rFonts w:ascii="Arial" w:hAnsi="Arial" w:cs="Arial"/>
          <w:bCs/>
          <w:lang w:val="es-AR" w:eastAsia="es-ES"/>
        </w:rPr>
        <w:t xml:space="preserve"> </w:t>
      </w:r>
      <w:r w:rsidRPr="005A0BD6">
        <w:rPr>
          <w:rFonts w:ascii="Arial" w:hAnsi="Arial" w:cs="Arial"/>
          <w:bCs/>
          <w:lang w:val="es-AR" w:eastAsia="es-ES"/>
        </w:rPr>
        <w:t>examinado, en su caso, con ocasión de los actos aplicativos que de las mismas pudieran hacerse, los cuales,</w:t>
      </w:r>
      <w:r>
        <w:rPr>
          <w:rFonts w:ascii="Arial" w:hAnsi="Arial" w:cs="Arial"/>
          <w:bCs/>
          <w:lang w:val="es-AR" w:eastAsia="es-ES"/>
        </w:rPr>
        <w:t xml:space="preserve"> </w:t>
      </w:r>
      <w:r w:rsidRPr="005A0BD6">
        <w:rPr>
          <w:rFonts w:ascii="Arial" w:hAnsi="Arial" w:cs="Arial"/>
          <w:bCs/>
          <w:lang w:val="es-AR" w:eastAsia="es-ES"/>
        </w:rPr>
        <w:t>obviamente, sí serían susceptibles de impugnación y, por tanto, de control.</w:t>
      </w:r>
    </w:p>
    <w:p w14:paraId="6E5E5A78" w14:textId="59A683BA" w:rsidR="00A1224D" w:rsidRDefault="00A1224D" w:rsidP="00A1224D">
      <w:pPr>
        <w:rPr>
          <w:rFonts w:ascii="Arial" w:hAnsi="Arial" w:cs="Arial"/>
          <w:lang w:val="es-ES_tradnl" w:eastAsia="ja-JP"/>
        </w:rPr>
      </w:pPr>
      <w:r>
        <w:rPr>
          <w:rFonts w:ascii="Arial" w:hAnsi="Arial" w:cs="Arial"/>
          <w:bCs/>
          <w:lang w:val="es-AR" w:eastAsia="es-ES"/>
        </w:rPr>
        <w:t>U</w:t>
      </w:r>
      <w:r w:rsidRPr="005A0BD6">
        <w:rPr>
          <w:rFonts w:ascii="Arial" w:hAnsi="Arial" w:cs="Arial"/>
          <w:bCs/>
          <w:lang w:val="es-AR" w:eastAsia="es-ES"/>
        </w:rPr>
        <w:t>na vez determinada la naturaleza y la finalidad del acto impugnado, meras instrucciones</w:t>
      </w:r>
      <w:r>
        <w:rPr>
          <w:rFonts w:ascii="Arial" w:hAnsi="Arial" w:cs="Arial"/>
          <w:bCs/>
          <w:lang w:val="es-AR" w:eastAsia="es-ES"/>
        </w:rPr>
        <w:t xml:space="preserve"> </w:t>
      </w:r>
      <w:r w:rsidRPr="005A0BD6">
        <w:rPr>
          <w:rFonts w:ascii="Arial" w:hAnsi="Arial" w:cs="Arial"/>
          <w:bCs/>
          <w:lang w:val="es-AR" w:eastAsia="es-ES"/>
        </w:rPr>
        <w:t>dirigidas a los órganos internos de la Administración y a los efectos de la aplicación de una regulación de gran</w:t>
      </w:r>
      <w:r>
        <w:rPr>
          <w:rFonts w:ascii="Arial" w:hAnsi="Arial" w:cs="Arial"/>
          <w:bCs/>
          <w:lang w:val="es-AR" w:eastAsia="es-ES"/>
        </w:rPr>
        <w:t xml:space="preserve"> </w:t>
      </w:r>
      <w:r w:rsidRPr="005A0BD6">
        <w:rPr>
          <w:rFonts w:ascii="Arial" w:hAnsi="Arial" w:cs="Arial"/>
          <w:bCs/>
          <w:lang w:val="es-AR" w:eastAsia="es-ES"/>
        </w:rPr>
        <w:t>importancia en la convivencia ciudadana durante la pandemia</w:t>
      </w:r>
      <w:r>
        <w:rPr>
          <w:rFonts w:ascii="Arial" w:hAnsi="Arial" w:cs="Arial"/>
          <w:bCs/>
          <w:lang w:val="es-AR" w:eastAsia="es-ES"/>
        </w:rPr>
        <w:t xml:space="preserve">, el recurso deviene inadmisible, </w:t>
      </w:r>
      <w:r w:rsidRPr="005A0BD6">
        <w:rPr>
          <w:rFonts w:ascii="Arial" w:hAnsi="Arial" w:cs="Arial"/>
          <w:bCs/>
          <w:lang w:val="es-AR" w:eastAsia="es-ES"/>
        </w:rPr>
        <w:t>sin necesidad de examinar las demás excepciones procesales ni enjuiciar el fondo del asunto</w:t>
      </w:r>
      <w:r>
        <w:rPr>
          <w:rFonts w:ascii="Arial" w:hAnsi="Arial" w:cs="Arial"/>
          <w:bCs/>
          <w:lang w:val="es-AR" w:eastAsia="es-ES"/>
        </w:rPr>
        <w:t xml:space="preserve"> (Fundamento de Derecho séptimo). No se imponen costas </w:t>
      </w:r>
      <w:r w:rsidRPr="00C7219A">
        <w:rPr>
          <w:rFonts w:ascii="Arial" w:hAnsi="Arial" w:cs="Arial"/>
          <w:bCs/>
          <w:lang w:val="es-AR" w:eastAsia="es-ES"/>
        </w:rPr>
        <w:t>dada la dificultad interpretativa en una situación a todas luces excepcional como la provocada por la pandemia</w:t>
      </w:r>
      <w:r>
        <w:rPr>
          <w:rFonts w:ascii="Arial" w:hAnsi="Arial" w:cs="Arial"/>
          <w:bCs/>
          <w:lang w:val="es-AR" w:eastAsia="es-ES"/>
        </w:rPr>
        <w:t xml:space="preserve"> (Fundamento de Derecho octavo)</w:t>
      </w:r>
      <w:r>
        <w:rPr>
          <w:rFonts w:ascii="Arial" w:hAnsi="Arial" w:cs="Arial"/>
          <w:bCs/>
          <w:lang w:val="es-AR" w:eastAsia="es-ES"/>
        </w:rPr>
        <w:t>.</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MS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76D51094"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6215BA" w:rsidRPr="00132535">
        <w:rPr>
          <w:rStyle w:val="Hipervnculo"/>
          <w:lang w:val="pt-BR"/>
        </w:rPr>
        <w:t>http://dx.doi.org/10.17345/rcda.</w:t>
      </w:r>
      <w:r w:rsidR="006215BA" w:rsidRPr="00132535">
        <w:rPr>
          <w:rStyle w:val="Hipervnculo"/>
          <w:lang w:val="pt-BR"/>
        </w:rPr>
        <w:t>3414</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 w:id="1">
    <w:p w14:paraId="6D72D81E" w14:textId="77777777" w:rsidR="00380417" w:rsidRPr="00BC2176" w:rsidRDefault="00380417" w:rsidP="006F74AF">
      <w:pPr>
        <w:pStyle w:val="Textonotapie"/>
        <w:spacing w:after="0"/>
        <w:rPr>
          <w:lang w:val="es-ES"/>
        </w:rPr>
      </w:pPr>
      <w:r>
        <w:rPr>
          <w:rStyle w:val="Refdenotaalpie"/>
        </w:rPr>
        <w:footnoteRef/>
      </w:r>
      <w:r w:rsidRPr="00BC2176">
        <w:rPr>
          <w:lang w:val="es-ES"/>
        </w:rPr>
        <w:t xml:space="preserve"> De</w:t>
      </w:r>
      <w:r>
        <w:rPr>
          <w:lang w:val="es-ES"/>
        </w:rPr>
        <w:t xml:space="preserve"> cuyo contenido </w:t>
      </w:r>
      <w:r w:rsidRPr="00BC2176">
        <w:rPr>
          <w:lang w:val="es-ES"/>
        </w:rPr>
        <w:t>se dio d</w:t>
      </w:r>
      <w:r>
        <w:rPr>
          <w:lang w:val="es-ES"/>
        </w:rPr>
        <w:t>ebida cuenta en la sección de Derecho y políticas ambientales de esta Revista correspondiente al v</w:t>
      </w:r>
      <w:r w:rsidRPr="00BC2176">
        <w:rPr>
          <w:lang w:val="es-ES"/>
        </w:rPr>
        <w:t>ol.</w:t>
      </w:r>
      <w:r>
        <w:rPr>
          <w:lang w:val="es-ES"/>
        </w:rPr>
        <w:t xml:space="preserve"> </w:t>
      </w:r>
      <w:r w:rsidRPr="00BC2176">
        <w:rPr>
          <w:lang w:val="es-ES"/>
        </w:rPr>
        <w:t>XI</w:t>
      </w:r>
      <w:r>
        <w:rPr>
          <w:lang w:val="es-ES"/>
        </w:rPr>
        <w:t>, n</w:t>
      </w:r>
      <w:r w:rsidRPr="00BC2176">
        <w:rPr>
          <w:lang w:val="es-ES"/>
        </w:rPr>
        <w:t>úm.1 (2020)</w:t>
      </w:r>
      <w:r>
        <w:rPr>
          <w:lang w:val="es-ES"/>
        </w:rPr>
        <w:t xml:space="preserve">. La litigiosidad de estos instrumentos es también recurrente en esta sección. Así, la </w:t>
      </w:r>
      <w:r w:rsidRPr="00BC2176">
        <w:rPr>
          <w:lang w:val="es-ES"/>
        </w:rPr>
        <w:t>crónica jurisprudencial correspondiente al vol. X, núm. 1 (2019)</w:t>
      </w:r>
      <w:r>
        <w:rPr>
          <w:lang w:val="es-ES"/>
        </w:rPr>
        <w:t xml:space="preserve"> dio noticia de la judicialización del </w:t>
      </w:r>
      <w:r w:rsidRPr="00BC2176">
        <w:rPr>
          <w:lang w:val="es-ES"/>
        </w:rPr>
        <w:t>Programa de Actuaciones de Control del Lobo</w:t>
      </w:r>
      <w:r>
        <w:rPr>
          <w:lang w:val="es-ES"/>
        </w:rPr>
        <w:t xml:space="preserve"> anterior a este, el que cubría</w:t>
      </w:r>
      <w:r w:rsidRPr="00BC2176">
        <w:rPr>
          <w:lang w:val="es-ES"/>
        </w:rPr>
        <w:t xml:space="preserve"> el ejercicio 2017-2018</w:t>
      </w:r>
      <w:r>
        <w:rPr>
          <w:lang w:val="es-ES"/>
        </w:rPr>
        <w:t>; más atrás en el tiempo, la entrega del vol. VIII, núm. 2 (2017) se había ocupado a su vez de los recursos contra el Programa del período 2015-2016.</w:t>
      </w:r>
    </w:p>
  </w:footnote>
  <w:footnote w:id="2">
    <w:p w14:paraId="0EA9D22F" w14:textId="77777777" w:rsidR="00705CA6" w:rsidRPr="005F6F46" w:rsidRDefault="00705CA6" w:rsidP="006F74AF">
      <w:pPr>
        <w:pStyle w:val="Textonotapie"/>
        <w:spacing w:after="0"/>
      </w:pPr>
      <w:r>
        <w:rPr>
          <w:rStyle w:val="Refdenotaalpie"/>
        </w:rPr>
        <w:footnoteRef/>
      </w:r>
      <w:r>
        <w:t xml:space="preserve"> Un informe fechado en julio de 2021 del Jefe del Servicio de Vida Silvestre, funcionario biólogo, que subraya que el modelo de gestión del lobo se ha seguido en España de conformidad con los datos y la gestión realizada en Asturias y un informe del mes de junio de ese mismo año de un investigador de la Universidad de Oviedo, que concluye la existencia en 2018 de unas 38 manadas reproductoras en Asturias y observa coherencia entre las estimaciones de manadas reproductoras obtenidas en Asturias mediante la aplicación de diferentes procedimientos analíticos (Fundamento de Derecho sexto).</w:t>
      </w:r>
    </w:p>
  </w:footnote>
  <w:footnote w:id="3">
    <w:p w14:paraId="45CFC993" w14:textId="77777777" w:rsidR="009416F2" w:rsidRPr="005F5860" w:rsidRDefault="009416F2" w:rsidP="009416F2">
      <w:pPr>
        <w:pStyle w:val="Textonotapie"/>
        <w:rPr>
          <w:lang w:val="es-ES"/>
        </w:rPr>
      </w:pPr>
      <w:r>
        <w:rPr>
          <w:rStyle w:val="Refdenotaalpie"/>
        </w:rPr>
        <w:footnoteRef/>
      </w:r>
      <w:r>
        <w:t xml:space="preserve"> Se trata de un </w:t>
      </w:r>
      <w:r w:rsidRPr="005F5860">
        <w:t xml:space="preserve">ámbito ZEPA, </w:t>
      </w:r>
      <w:r>
        <w:t xml:space="preserve">que </w:t>
      </w:r>
      <w:r w:rsidRPr="005F5860">
        <w:t xml:space="preserve">fue declarado Parque Natural de las Fuentes del Narcea, </w:t>
      </w:r>
      <w:proofErr w:type="spellStart"/>
      <w:r w:rsidRPr="005F5860">
        <w:t>Degaña</w:t>
      </w:r>
      <w:proofErr w:type="spellEnd"/>
      <w:r w:rsidRPr="005F5860">
        <w:t xml:space="preserve"> e Ibias por Ley 12/2002 y ZEC por</w:t>
      </w:r>
      <w:r>
        <w:t xml:space="preserve"> </w:t>
      </w:r>
      <w:r w:rsidRPr="005F5860">
        <w:t>Decreto 10/2015, de 11 de febrero. El área afectada está dentro de la cuenca carbonífera de Rengos, que fue</w:t>
      </w:r>
      <w:r>
        <w:t xml:space="preserve"> </w:t>
      </w:r>
      <w:r w:rsidRPr="005F5860">
        <w:t>explotada por varios grupos mineros que en 31 años de explotación produjeron importantes transformaciones</w:t>
      </w:r>
      <w:r>
        <w:t xml:space="preserve"> </w:t>
      </w:r>
      <w:r w:rsidRPr="005F5860">
        <w:t>ambientales.</w:t>
      </w:r>
    </w:p>
  </w:footnote>
  <w:footnote w:id="4">
    <w:p w14:paraId="32652326" w14:textId="0ABE0EF8" w:rsidR="005733EE" w:rsidRPr="00AA6ACB" w:rsidRDefault="005733EE" w:rsidP="006F74AF">
      <w:pPr>
        <w:pStyle w:val="Textonotapie"/>
        <w:spacing w:after="0"/>
        <w:rPr>
          <w:lang w:val="es-ES"/>
        </w:rPr>
      </w:pPr>
      <w:r>
        <w:rPr>
          <w:rStyle w:val="Refdenotaalpie"/>
        </w:rPr>
        <w:footnoteRef/>
      </w:r>
      <w:r>
        <w:t xml:space="preserve"> Así puede verse en el comentario de la sentencia firmado por María Pascual Núñez para </w:t>
      </w:r>
      <w:r>
        <w:rPr>
          <w:i/>
          <w:iCs/>
        </w:rPr>
        <w:t xml:space="preserve">Actualidad Jurídica Ambiental </w:t>
      </w:r>
      <w:r>
        <w:t>(</w:t>
      </w:r>
      <w:r w:rsidR="006F74AF">
        <w:t>&lt;</w:t>
      </w:r>
      <w:hyperlink r:id="rId1" w:history="1">
        <w:r w:rsidR="006F74AF" w:rsidRPr="00132535">
          <w:rPr>
            <w:rStyle w:val="Hipervnculo"/>
          </w:rPr>
          <w:t>https://www.actualidadjuridicaambiental.com/jurisprudencia-al-dia-principado-de-asturias-confederacion-hidrografica-presa-rios/</w:t>
        </w:r>
      </w:hyperlink>
      <w:r w:rsidR="006F74AF">
        <w:t>&gt;</w:t>
      </w:r>
      <w:r>
        <w:t xml:space="preserve">). </w:t>
      </w:r>
    </w:p>
  </w:footnote>
  <w:footnote w:id="5">
    <w:p w14:paraId="6D024231" w14:textId="77777777" w:rsidR="005733EE" w:rsidRPr="00FF2080" w:rsidRDefault="005733EE" w:rsidP="006F74AF">
      <w:pPr>
        <w:pStyle w:val="Textonotapie"/>
        <w:spacing w:after="0"/>
        <w:rPr>
          <w:lang w:val="es-ES"/>
        </w:rPr>
      </w:pPr>
      <w:r>
        <w:rPr>
          <w:rStyle w:val="Refdenotaalpie"/>
        </w:rPr>
        <w:footnoteRef/>
      </w:r>
      <w:r>
        <w:t xml:space="preserve"> </w:t>
      </w:r>
      <w:r>
        <w:rPr>
          <w:lang w:val="es-ES"/>
        </w:rPr>
        <w:t xml:space="preserve">Aunque también se argumentada </w:t>
      </w:r>
      <w:r w:rsidRPr="00FF2080">
        <w:rPr>
          <w:lang w:val="es-ES"/>
        </w:rPr>
        <w:t xml:space="preserve">arbitrariedad y falta de motivación de la resolución dictada por la </w:t>
      </w:r>
      <w:r>
        <w:rPr>
          <w:lang w:val="es-ES"/>
        </w:rPr>
        <w:t>C</w:t>
      </w:r>
      <w:r w:rsidRPr="00FF2080">
        <w:rPr>
          <w:lang w:val="es-ES"/>
        </w:rPr>
        <w:t>onfederación Hidrográfica del</w:t>
      </w:r>
      <w:r>
        <w:rPr>
          <w:lang w:val="es-ES"/>
        </w:rPr>
        <w:t xml:space="preserve"> </w:t>
      </w:r>
      <w:r w:rsidRPr="00FF2080">
        <w:rPr>
          <w:lang w:val="es-ES"/>
        </w:rPr>
        <w:t>Cantábrico</w:t>
      </w:r>
      <w:r>
        <w:rPr>
          <w:lang w:val="es-ES"/>
        </w:rPr>
        <w:t>, cosa que el TSJA descarta por entender que existe una motivación por remisión (Fundamento de Derecho quinto).</w:t>
      </w:r>
    </w:p>
  </w:footnote>
  <w:footnote w:id="6">
    <w:p w14:paraId="0AB24665" w14:textId="77777777" w:rsidR="005733EE" w:rsidRPr="00AB7DF9" w:rsidRDefault="005733EE" w:rsidP="00A1224D">
      <w:pPr>
        <w:pStyle w:val="Textonotapie"/>
        <w:spacing w:after="0"/>
        <w:rPr>
          <w:lang w:val="es-ES"/>
        </w:rPr>
      </w:pPr>
      <w:r>
        <w:rPr>
          <w:rStyle w:val="Refdenotaalpie"/>
        </w:rPr>
        <w:footnoteRef/>
      </w:r>
      <w:r>
        <w:t xml:space="preserve"> </w:t>
      </w:r>
      <w:r>
        <w:rPr>
          <w:lang w:val="es-ES"/>
        </w:rPr>
        <w:t xml:space="preserve">De nuevo, si </w:t>
      </w:r>
      <w:r w:rsidRPr="00AB7DF9">
        <w:rPr>
          <w:bCs/>
          <w:lang w:val="es-AR" w:eastAsia="es-ES"/>
        </w:rPr>
        <w:t>posteriormente se han adoptado las medidas para ello, deberá plantearse la recurrente instar un nuevo</w:t>
      </w:r>
      <w:r>
        <w:rPr>
          <w:bCs/>
          <w:lang w:val="es-AR" w:eastAsia="es-ES"/>
        </w:rPr>
        <w:t xml:space="preserve"> </w:t>
      </w:r>
      <w:r w:rsidRPr="00AB7DF9">
        <w:rPr>
          <w:bCs/>
          <w:lang w:val="es-AR" w:eastAsia="es-ES"/>
        </w:rPr>
        <w:t>procedimiento con los datos y circunstancias actuales de la instalación</w:t>
      </w:r>
      <w:r>
        <w:rPr>
          <w:bCs/>
          <w:lang w:val="es-AR" w:eastAsia="es-ES"/>
        </w:rPr>
        <w:t xml:space="preserve"> (Fundamento de Derecho cuarto).</w:t>
      </w:r>
    </w:p>
  </w:footnote>
  <w:footnote w:id="7">
    <w:p w14:paraId="74433614" w14:textId="77777777" w:rsidR="005733EE" w:rsidRPr="00F544D3" w:rsidRDefault="005733EE" w:rsidP="00A1224D">
      <w:pPr>
        <w:pStyle w:val="Textonotapie"/>
        <w:spacing w:after="0"/>
        <w:rPr>
          <w:lang w:val="es-ES"/>
        </w:rPr>
      </w:pPr>
      <w:r>
        <w:rPr>
          <w:rStyle w:val="Refdenotaalpie"/>
        </w:rPr>
        <w:footnoteRef/>
      </w:r>
      <w:r>
        <w:t xml:space="preserve"> </w:t>
      </w:r>
      <w:r>
        <w:rPr>
          <w:lang w:val="es-ES"/>
        </w:rPr>
        <w:t xml:space="preserve">Tampoco contenía detalle sobre los impactos en zonas protegidas LIC ni sobre el Parque Natural de Somiedo, cuya normativa reguladora </w:t>
      </w:r>
      <w:r w:rsidRPr="00F544D3">
        <w:rPr>
          <w:lang w:val="es-ES"/>
        </w:rPr>
        <w:t xml:space="preserve">establece la incompatibilidad de los usos hidráulicos con </w:t>
      </w:r>
      <w:r>
        <w:rPr>
          <w:lang w:val="es-ES"/>
        </w:rPr>
        <w:t>la</w:t>
      </w:r>
      <w:r w:rsidRPr="00F544D3">
        <w:rPr>
          <w:lang w:val="es-ES"/>
        </w:rPr>
        <w:t xml:space="preserve"> finalidad de conservación del Parque</w:t>
      </w:r>
      <w:r>
        <w:rPr>
          <w:lang w:val="es-ES"/>
        </w:rPr>
        <w:t>. Cierto es que esa normativa, en los tiempos de la solicitud de legalización, tenía una referencia a aprovechamientos preexistentes, pero</w:t>
      </w:r>
      <w:r w:rsidRPr="00F544D3">
        <w:rPr>
          <w:lang w:val="es-ES"/>
        </w:rPr>
        <w:t xml:space="preserve"> sin hacer referencia a la posibilidad de ampliación, debiendo interpretarse de forma restrictiva</w:t>
      </w:r>
      <w:r>
        <w:rPr>
          <w:lang w:val="es-ES"/>
        </w:rPr>
        <w:t xml:space="preserve"> dada la naturaleza de la norma</w:t>
      </w:r>
      <w:r w:rsidRPr="00F544D3">
        <w:rPr>
          <w:lang w:val="es-ES"/>
        </w:rPr>
        <w:t xml:space="preserve"> y la regla general de prohibición</w:t>
      </w:r>
      <w:r>
        <w:rPr>
          <w:lang w:val="es-ES"/>
        </w:rPr>
        <w:t xml:space="preserve">. En tiempos más recientes (2014) la regulación del Parque </w:t>
      </w:r>
      <w:r w:rsidRPr="00F544D3">
        <w:rPr>
          <w:lang w:val="es-ES"/>
        </w:rPr>
        <w:t>s</w:t>
      </w:r>
      <w:r>
        <w:rPr>
          <w:lang w:val="es-ES"/>
        </w:rPr>
        <w:t>í</w:t>
      </w:r>
      <w:r w:rsidRPr="00F544D3">
        <w:rPr>
          <w:lang w:val="es-ES"/>
        </w:rPr>
        <w:t xml:space="preserve"> recoge la posibilidad de "ampliación o renovación", con el condicionante de</w:t>
      </w:r>
      <w:r>
        <w:rPr>
          <w:lang w:val="es-ES"/>
        </w:rPr>
        <w:t xml:space="preserve"> </w:t>
      </w:r>
      <w:r w:rsidRPr="00F544D3">
        <w:rPr>
          <w:lang w:val="es-ES"/>
        </w:rPr>
        <w:t>acomodarse a la normativa vigente respetando las medidas medioambientales y de restauración fijadas por el</w:t>
      </w:r>
      <w:r>
        <w:rPr>
          <w:lang w:val="es-ES"/>
        </w:rPr>
        <w:t xml:space="preserve"> </w:t>
      </w:r>
      <w:r w:rsidRPr="00F544D3">
        <w:rPr>
          <w:lang w:val="es-ES"/>
        </w:rPr>
        <w:t>órgano de cuenca y previo informe de la Administración del Parque. Pero</w:t>
      </w:r>
      <w:r>
        <w:rPr>
          <w:lang w:val="es-ES"/>
        </w:rPr>
        <w:t>, de nuevo,</w:t>
      </w:r>
      <w:r w:rsidRPr="00F544D3">
        <w:rPr>
          <w:lang w:val="es-ES"/>
        </w:rPr>
        <w:t xml:space="preserve"> se trata de una norma posterior a la</w:t>
      </w:r>
      <w:r>
        <w:rPr>
          <w:lang w:val="es-ES"/>
        </w:rPr>
        <w:t xml:space="preserve"> </w:t>
      </w:r>
      <w:r w:rsidRPr="00F544D3">
        <w:rPr>
          <w:lang w:val="es-ES"/>
        </w:rPr>
        <w:t>DIA y, por ende, no aplicable al caso</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41441599" w:rsidR="006127B4" w:rsidRPr="00A97BD8" w:rsidRDefault="006215BA">
    <w:pPr>
      <w:pStyle w:val="Encabezado"/>
    </w:pPr>
    <w:r w:rsidRPr="006215BA">
      <w:rPr>
        <w:lang w:val="pt-PT"/>
      </w:rPr>
      <w:t>A</w:t>
    </w:r>
    <w:r w:rsidR="006127B4" w:rsidRPr="006215BA">
      <w:rPr>
        <w:lang w:val="pt-PT"/>
      </w:rPr>
      <w:t xml:space="preserve">. </w:t>
    </w:r>
    <w:r w:rsidRPr="006215BA">
      <w:rPr>
        <w:lang w:val="pt-PT"/>
      </w:rPr>
      <w:t>Boto Á</w:t>
    </w:r>
    <w:r>
      <w:rPr>
        <w:lang w:val="pt-PT"/>
      </w:rPr>
      <w:t>lvarez</w:t>
    </w:r>
    <w:r w:rsidR="006127B4" w:rsidRPr="006215BA">
      <w:rPr>
        <w:lang w:val="pt-PT"/>
      </w:rPr>
      <w:tab/>
    </w:r>
    <w:r w:rsidR="006127B4" w:rsidRPr="006215BA">
      <w:rPr>
        <w:lang w:val="pt-PT"/>
      </w:rPr>
      <w:tab/>
    </w:r>
    <w:r w:rsidR="006127B4" w:rsidRPr="006215BA">
      <w:rPr>
        <w:i/>
        <w:lang w:val="pt-PT"/>
      </w:rPr>
      <w:t xml:space="preserve">RCDA </w:t>
    </w:r>
    <w:r w:rsidR="006127B4" w:rsidRPr="006215BA">
      <w:rPr>
        <w:lang w:val="pt-PT"/>
      </w:rPr>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0AC9C3F5"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6215BA">
      <w:rPr>
        <w:lang w:val="pt-BR"/>
      </w:rPr>
      <w:t xml:space="preserve">Juris </w:t>
    </w:r>
    <w:proofErr w:type="spellStart"/>
    <w:r w:rsidR="006215BA">
      <w:rPr>
        <w:lang w:val="pt-BR"/>
      </w:rPr>
      <w:t>Ambien</w:t>
    </w:r>
    <w:proofErr w:type="spellEnd"/>
    <w:r w:rsidR="006215BA">
      <w:rPr>
        <w:lang w:val="pt-BR"/>
      </w:rPr>
      <w:t xml:space="preserve"> Asturias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368B7FDA"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6215BA">
      <w:t>11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87953"/>
    <w:rsid w:val="0009571B"/>
    <w:rsid w:val="000C44E0"/>
    <w:rsid w:val="000D2E05"/>
    <w:rsid w:val="00107A76"/>
    <w:rsid w:val="001421DD"/>
    <w:rsid w:val="001746E8"/>
    <w:rsid w:val="00174DC1"/>
    <w:rsid w:val="00174F50"/>
    <w:rsid w:val="001826D6"/>
    <w:rsid w:val="00192736"/>
    <w:rsid w:val="001A4A45"/>
    <w:rsid w:val="001B1D26"/>
    <w:rsid w:val="001B6829"/>
    <w:rsid w:val="001D7F04"/>
    <w:rsid w:val="001F1932"/>
    <w:rsid w:val="00204909"/>
    <w:rsid w:val="002339BA"/>
    <w:rsid w:val="002640EB"/>
    <w:rsid w:val="00274E5F"/>
    <w:rsid w:val="0028311E"/>
    <w:rsid w:val="00290105"/>
    <w:rsid w:val="002A595F"/>
    <w:rsid w:val="002A7252"/>
    <w:rsid w:val="002B5594"/>
    <w:rsid w:val="002C5BC0"/>
    <w:rsid w:val="002D6792"/>
    <w:rsid w:val="00311E72"/>
    <w:rsid w:val="00321C9B"/>
    <w:rsid w:val="00351202"/>
    <w:rsid w:val="00372E91"/>
    <w:rsid w:val="00375898"/>
    <w:rsid w:val="003774FD"/>
    <w:rsid w:val="00380417"/>
    <w:rsid w:val="003B1C06"/>
    <w:rsid w:val="003B21C0"/>
    <w:rsid w:val="003C7912"/>
    <w:rsid w:val="00404419"/>
    <w:rsid w:val="004064AB"/>
    <w:rsid w:val="00442B87"/>
    <w:rsid w:val="00475E9B"/>
    <w:rsid w:val="0049512B"/>
    <w:rsid w:val="005061B9"/>
    <w:rsid w:val="0051069A"/>
    <w:rsid w:val="00514FE2"/>
    <w:rsid w:val="0056686F"/>
    <w:rsid w:val="005733EE"/>
    <w:rsid w:val="005872FE"/>
    <w:rsid w:val="00595D3E"/>
    <w:rsid w:val="005A0B33"/>
    <w:rsid w:val="006127B4"/>
    <w:rsid w:val="006215BA"/>
    <w:rsid w:val="0063330B"/>
    <w:rsid w:val="00646563"/>
    <w:rsid w:val="0064789B"/>
    <w:rsid w:val="00663F44"/>
    <w:rsid w:val="006725E7"/>
    <w:rsid w:val="00681A36"/>
    <w:rsid w:val="00687F3D"/>
    <w:rsid w:val="006A14FA"/>
    <w:rsid w:val="006B3FFD"/>
    <w:rsid w:val="006C3ECE"/>
    <w:rsid w:val="006F57AE"/>
    <w:rsid w:val="006F74AF"/>
    <w:rsid w:val="007028BF"/>
    <w:rsid w:val="00705CA6"/>
    <w:rsid w:val="00720A6B"/>
    <w:rsid w:val="00740B4F"/>
    <w:rsid w:val="00745F31"/>
    <w:rsid w:val="00781131"/>
    <w:rsid w:val="00785617"/>
    <w:rsid w:val="00786E15"/>
    <w:rsid w:val="00793223"/>
    <w:rsid w:val="007A02F8"/>
    <w:rsid w:val="007A447C"/>
    <w:rsid w:val="007B0370"/>
    <w:rsid w:val="007B2FCD"/>
    <w:rsid w:val="007B41A0"/>
    <w:rsid w:val="007B47A1"/>
    <w:rsid w:val="007C1B89"/>
    <w:rsid w:val="007F546E"/>
    <w:rsid w:val="00807224"/>
    <w:rsid w:val="00892136"/>
    <w:rsid w:val="008A42FC"/>
    <w:rsid w:val="008B5B37"/>
    <w:rsid w:val="008D78BC"/>
    <w:rsid w:val="008D7A5C"/>
    <w:rsid w:val="009009F4"/>
    <w:rsid w:val="00910DEC"/>
    <w:rsid w:val="0091123C"/>
    <w:rsid w:val="00917857"/>
    <w:rsid w:val="00926003"/>
    <w:rsid w:val="009416F2"/>
    <w:rsid w:val="009453B6"/>
    <w:rsid w:val="00951ADA"/>
    <w:rsid w:val="0095362E"/>
    <w:rsid w:val="00953DA4"/>
    <w:rsid w:val="009A6C3B"/>
    <w:rsid w:val="009B0871"/>
    <w:rsid w:val="009B69EC"/>
    <w:rsid w:val="009C619A"/>
    <w:rsid w:val="009D4065"/>
    <w:rsid w:val="009D5AF5"/>
    <w:rsid w:val="009F042D"/>
    <w:rsid w:val="009F36C9"/>
    <w:rsid w:val="00A10B3F"/>
    <w:rsid w:val="00A1224D"/>
    <w:rsid w:val="00A25AC6"/>
    <w:rsid w:val="00A3309C"/>
    <w:rsid w:val="00A47D21"/>
    <w:rsid w:val="00A50955"/>
    <w:rsid w:val="00A70C5E"/>
    <w:rsid w:val="00A97BD8"/>
    <w:rsid w:val="00AA12F4"/>
    <w:rsid w:val="00AA6F54"/>
    <w:rsid w:val="00B01412"/>
    <w:rsid w:val="00B04513"/>
    <w:rsid w:val="00B22357"/>
    <w:rsid w:val="00B33E83"/>
    <w:rsid w:val="00B40D93"/>
    <w:rsid w:val="00B4268C"/>
    <w:rsid w:val="00B472B0"/>
    <w:rsid w:val="00B64CA9"/>
    <w:rsid w:val="00BA2806"/>
    <w:rsid w:val="00BD232E"/>
    <w:rsid w:val="00BD4FF3"/>
    <w:rsid w:val="00BE2972"/>
    <w:rsid w:val="00BE68CB"/>
    <w:rsid w:val="00BF31E0"/>
    <w:rsid w:val="00BF37BB"/>
    <w:rsid w:val="00BF52B5"/>
    <w:rsid w:val="00C25669"/>
    <w:rsid w:val="00C2753C"/>
    <w:rsid w:val="00C34CCB"/>
    <w:rsid w:val="00C47218"/>
    <w:rsid w:val="00C51BF3"/>
    <w:rsid w:val="00CA0B2F"/>
    <w:rsid w:val="00CB043D"/>
    <w:rsid w:val="00CC2115"/>
    <w:rsid w:val="00CD129E"/>
    <w:rsid w:val="00CF00B9"/>
    <w:rsid w:val="00D15CF3"/>
    <w:rsid w:val="00D30004"/>
    <w:rsid w:val="00D30429"/>
    <w:rsid w:val="00D30654"/>
    <w:rsid w:val="00D46B04"/>
    <w:rsid w:val="00D54CF1"/>
    <w:rsid w:val="00D83C19"/>
    <w:rsid w:val="00DC1B9F"/>
    <w:rsid w:val="00DD3CC8"/>
    <w:rsid w:val="00DF5C97"/>
    <w:rsid w:val="00E1419A"/>
    <w:rsid w:val="00E41CB2"/>
    <w:rsid w:val="00E4506D"/>
    <w:rsid w:val="00E66E9A"/>
    <w:rsid w:val="00E87BD6"/>
    <w:rsid w:val="00EA33EB"/>
    <w:rsid w:val="00EB7827"/>
    <w:rsid w:val="00EF5A78"/>
    <w:rsid w:val="00F26ED6"/>
    <w:rsid w:val="00F342E5"/>
    <w:rsid w:val="00F36B5C"/>
    <w:rsid w:val="00F45314"/>
    <w:rsid w:val="00F57D6F"/>
    <w:rsid w:val="00F6520E"/>
    <w:rsid w:val="00F72AC2"/>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7A02F8"/>
    <w:pPr>
      <w:keepNext/>
      <w:keepLines/>
      <w:spacing w:before="360" w:after="120"/>
      <w:outlineLvl w:val="0"/>
    </w:pPr>
    <w:rPr>
      <w:rFonts w:ascii="Arial" w:eastAsiaTheme="majorEastAsia" w:hAnsi="Arial" w:cs="Times New Roman"/>
      <w:bCs/>
      <w:szCs w:val="24"/>
      <w:lang w:val="es-ES"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7A02F8"/>
    <w:rPr>
      <w:rFonts w:ascii="Arial" w:eastAsiaTheme="majorEastAsia" w:hAnsi="Arial" w:cs="Times New Roman"/>
      <w:bCs/>
      <w:lang w:val="es-ES"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6F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34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tualidadjuridicaambiental.com/jurisprudencia-al-dia-principado-de-asturias-confederacion-hidrografica-presa-ri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F4EEB55E64A41B9EB95A5BF8BA645"/>
        <w:category>
          <w:name w:val="General"/>
          <w:gallery w:val="placeholder"/>
        </w:category>
        <w:types>
          <w:type w:val="bbPlcHdr"/>
        </w:types>
        <w:behaviors>
          <w:behavior w:val="content"/>
        </w:behaviors>
        <w:guid w:val="{2E449475-99F1-5B4F-A35B-DA0E8D939378}"/>
      </w:docPartPr>
      <w:docPartBody>
        <w:p w:rsidR="00A47176" w:rsidRDefault="00A47176" w:rsidP="00A47176">
          <w:pPr>
            <w:pStyle w:val="A70F4EEB55E64A41B9EB95A5BF8BA64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329175630D34A75AD804C3E80F396A8"/>
        <w:category>
          <w:name w:val="General"/>
          <w:gallery w:val="placeholder"/>
        </w:category>
        <w:types>
          <w:type w:val="bbPlcHdr"/>
        </w:types>
        <w:behaviors>
          <w:behavior w:val="content"/>
        </w:behaviors>
        <w:guid w:val="{C83F112F-CB55-43DD-8402-C8D0C3FFCC57}"/>
      </w:docPartPr>
      <w:docPartBody>
        <w:p w:rsidR="00000000" w:rsidRDefault="00DC2157" w:rsidP="00DC2157">
          <w:pPr>
            <w:pStyle w:val="4329175630D34A75AD804C3E80F396A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MS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7113ED"/>
    <w:rsid w:val="007207C5"/>
    <w:rsid w:val="00A33D8A"/>
    <w:rsid w:val="00A47176"/>
    <w:rsid w:val="00CD107D"/>
    <w:rsid w:val="00D65D1A"/>
    <w:rsid w:val="00DC2157"/>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4329175630D34A75AD804C3E80F396A8">
    <w:name w:val="4329175630D34A75AD804C3E80F396A8"/>
    <w:rsid w:val="00DC2157"/>
    <w:pPr>
      <w:spacing w:after="160" w:line="259" w:lineRule="auto"/>
    </w:pPr>
    <w:rPr>
      <w:sz w:val="22"/>
      <w:szCs w:val="22"/>
      <w:lang w:eastAsia="es-ES"/>
    </w:rPr>
  </w:style>
  <w:style w:type="paragraph" w:customStyle="1" w:styleId="AD0D25B183BE4897BF92CA8198872C57">
    <w:name w:val="AD0D25B183BE4897BF92CA8198872C57"/>
    <w:rsid w:val="00DC2157"/>
    <w:pPr>
      <w:spacing w:after="160" w:line="259" w:lineRule="auto"/>
    </w:pPr>
    <w:rPr>
      <w:sz w:val="22"/>
      <w:szCs w:val="22"/>
      <w:lang w:eastAsia="es-ES"/>
    </w:rPr>
  </w:style>
  <w:style w:type="paragraph" w:customStyle="1" w:styleId="07FEB51394B44E27998E960B740CE1AE">
    <w:name w:val="07FEB51394B44E27998E960B740CE1AE"/>
    <w:rsid w:val="00DC2157"/>
    <w:pPr>
      <w:spacing w:after="160" w:line="259" w:lineRule="auto"/>
    </w:pPr>
    <w:rPr>
      <w:sz w:val="22"/>
      <w:szCs w:val="22"/>
      <w:lang w:eastAsia="es-ES"/>
    </w:rPr>
  </w:style>
  <w:style w:type="paragraph" w:customStyle="1" w:styleId="B6C0D65BE3A449CBBEC92E8ED842556C">
    <w:name w:val="B6C0D65BE3A449CBBEC92E8ED842556C"/>
    <w:rsid w:val="00DC2157"/>
    <w:pPr>
      <w:spacing w:after="160" w:line="259" w:lineRule="auto"/>
    </w:pPr>
    <w:rPr>
      <w:sz w:val="22"/>
      <w:szCs w:val="22"/>
      <w:lang w:eastAsia="es-ES"/>
    </w:rPr>
  </w:style>
  <w:style w:type="paragraph" w:customStyle="1" w:styleId="46E20BA53D8348A392A27E82682C47F0">
    <w:name w:val="46E20BA53D8348A392A27E82682C47F0"/>
    <w:rsid w:val="00DC2157"/>
    <w:pPr>
      <w:spacing w:after="160" w:line="259" w:lineRule="auto"/>
    </w:pPr>
    <w:rPr>
      <w:sz w:val="22"/>
      <w:szCs w:val="22"/>
      <w:lang w:eastAsia="es-ES"/>
    </w:rPr>
  </w:style>
  <w:style w:type="paragraph" w:customStyle="1" w:styleId="B9F37412FE844F0199AE8FCEB51CB623">
    <w:name w:val="B9F37412FE844F0199AE8FCEB51CB623"/>
    <w:rsid w:val="00DC2157"/>
    <w:pPr>
      <w:spacing w:after="160" w:line="259" w:lineRule="auto"/>
    </w:pPr>
    <w:rPr>
      <w:sz w:val="22"/>
      <w:szCs w:val="22"/>
      <w:lang w:eastAsia="es-ES"/>
    </w:rPr>
  </w:style>
  <w:style w:type="paragraph" w:customStyle="1" w:styleId="88F3EEC10C8E44DDB2198353FD25D733">
    <w:name w:val="88F3EEC10C8E44DDB2198353FD25D733"/>
    <w:rsid w:val="00DC2157"/>
    <w:pPr>
      <w:spacing w:after="160" w:line="259" w:lineRule="auto"/>
    </w:pPr>
    <w:rPr>
      <w:sz w:val="22"/>
      <w:szCs w:val="22"/>
      <w:lang w:eastAsia="es-ES"/>
    </w:rPr>
  </w:style>
  <w:style w:type="paragraph" w:customStyle="1" w:styleId="28950F718A16417B8B1DC4DAF05CF71E">
    <w:name w:val="28950F718A16417B8B1DC4DAF05CF71E"/>
    <w:rsid w:val="00DC2157"/>
    <w:pPr>
      <w:spacing w:after="160" w:line="259" w:lineRule="auto"/>
    </w:pPr>
    <w:rPr>
      <w:sz w:val="22"/>
      <w:szCs w:val="22"/>
      <w:lang w:eastAsia="es-ES"/>
    </w:rPr>
  </w:style>
  <w:style w:type="paragraph" w:customStyle="1" w:styleId="9C92E4CA269E4C6A9460C64312F8807F">
    <w:name w:val="9C92E4CA269E4C6A9460C64312F8807F"/>
    <w:rsid w:val="00DC2157"/>
    <w:pPr>
      <w:spacing w:after="160" w:line="259" w:lineRule="auto"/>
    </w:pPr>
    <w:rPr>
      <w:sz w:val="22"/>
      <w:szCs w:val="22"/>
      <w:lang w:eastAsia="es-ES"/>
    </w:rPr>
  </w:style>
  <w:style w:type="paragraph" w:customStyle="1" w:styleId="E7371B1E73344C1C94D01986169BA8A7">
    <w:name w:val="E7371B1E73344C1C94D01986169BA8A7"/>
    <w:rsid w:val="00DC2157"/>
    <w:pPr>
      <w:spacing w:after="160" w:line="259" w:lineRule="auto"/>
    </w:pPr>
    <w:rPr>
      <w:sz w:val="22"/>
      <w:szCs w:val="22"/>
      <w:lang w:eastAsia="es-ES"/>
    </w:rPr>
  </w:style>
  <w:style w:type="paragraph" w:customStyle="1" w:styleId="DC373023E40F40AE9B1996F3A6C09E5A">
    <w:name w:val="DC373023E40F40AE9B1996F3A6C09E5A"/>
    <w:rsid w:val="00DC2157"/>
    <w:pPr>
      <w:spacing w:after="160" w:line="259" w:lineRule="auto"/>
    </w:pPr>
    <w:rPr>
      <w:sz w:val="22"/>
      <w:szCs w:val="22"/>
      <w:lang w:eastAsia="es-ES"/>
    </w:rPr>
  </w:style>
  <w:style w:type="paragraph" w:customStyle="1" w:styleId="6D6D7AAB11C24F548A911CA8641B1BDF">
    <w:name w:val="6D6D7AAB11C24F548A911CA8641B1BDF"/>
    <w:rsid w:val="00DC2157"/>
    <w:pPr>
      <w:spacing w:after="160" w:line="259" w:lineRule="auto"/>
    </w:pPr>
    <w:rPr>
      <w:sz w:val="22"/>
      <w:szCs w:val="22"/>
      <w:lang w:eastAsia="es-ES"/>
    </w:rPr>
  </w:style>
  <w:style w:type="paragraph" w:customStyle="1" w:styleId="23E5F16738DD49A5AC52A33ED94FE696">
    <w:name w:val="23E5F16738DD49A5AC52A33ED94FE696"/>
    <w:rsid w:val="00DC2157"/>
    <w:pPr>
      <w:spacing w:after="160" w:line="259" w:lineRule="auto"/>
    </w:pPr>
    <w:rPr>
      <w:sz w:val="22"/>
      <w:szCs w:val="22"/>
      <w:lang w:eastAsia="es-ES"/>
    </w:rPr>
  </w:style>
  <w:style w:type="paragraph" w:customStyle="1" w:styleId="A8396395C44846BC9CDD22B7C7EB233A">
    <w:name w:val="A8396395C44846BC9CDD22B7C7EB233A"/>
    <w:rsid w:val="00DC2157"/>
    <w:pPr>
      <w:spacing w:after="160" w:line="259" w:lineRule="auto"/>
    </w:pPr>
    <w:rPr>
      <w:sz w:val="22"/>
      <w:szCs w:val="22"/>
      <w:lang w:eastAsia="es-ES"/>
    </w:rPr>
  </w:style>
  <w:style w:type="paragraph" w:customStyle="1" w:styleId="262217E859904255B1F0EBB8423745EF">
    <w:name w:val="262217E859904255B1F0EBB8423745EF"/>
    <w:rsid w:val="00DC2157"/>
    <w:pPr>
      <w:spacing w:after="160" w:line="259" w:lineRule="auto"/>
    </w:pPr>
    <w:rPr>
      <w:sz w:val="22"/>
      <w:szCs w:val="22"/>
      <w:lang w:eastAsia="es-ES"/>
    </w:rPr>
  </w:style>
  <w:style w:type="paragraph" w:customStyle="1" w:styleId="F4AAC2E380BE48D2B0EC3CE3CAEF1859">
    <w:name w:val="F4AAC2E380BE48D2B0EC3CE3CAEF1859"/>
    <w:rsid w:val="00DC2157"/>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3496</Words>
  <Characters>19230</Characters>
  <Application>Microsoft Office Word</Application>
  <DocSecurity>0</DocSecurity>
  <Lines>160</Lines>
  <Paragraphs>45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37</cp:revision>
  <dcterms:created xsi:type="dcterms:W3CDTF">2016-11-18T12:40:00Z</dcterms:created>
  <dcterms:modified xsi:type="dcterms:W3CDTF">2022-11-24T11:34:00Z</dcterms:modified>
</cp:coreProperties>
</file>